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0BD4E" w14:textId="1DF6AF05" w:rsidR="00FC7330" w:rsidRDefault="00945511" w:rsidP="00945511">
      <w:pPr>
        <w:pStyle w:val="Heading1"/>
        <w:spacing w:after="0"/>
        <w:rPr>
          <w:rFonts w:ascii="Times New Roman" w:hAnsi="Times New Roman" w:cs="Times New Roman"/>
          <w:u w:val="none"/>
        </w:rPr>
      </w:pPr>
      <w:r w:rsidRPr="00945511">
        <w:rPr>
          <w:rFonts w:ascii="Times New Roman" w:hAnsi="Times New Roman" w:cs="Times New Roman"/>
          <w:u w:val="none"/>
        </w:rPr>
        <w:t>Learning from disaster</w:t>
      </w:r>
      <w:r w:rsidR="00F923DF">
        <w:rPr>
          <w:rFonts w:ascii="Times New Roman" w:hAnsi="Times New Roman" w:cs="Times New Roman"/>
          <w:u w:val="none"/>
        </w:rPr>
        <w:t>s</w:t>
      </w:r>
      <w:r w:rsidRPr="00945511">
        <w:rPr>
          <w:rFonts w:ascii="Times New Roman" w:hAnsi="Times New Roman" w:cs="Times New Roman"/>
          <w:u w:val="none"/>
        </w:rPr>
        <w:t xml:space="preserve">: Extreme events and their impact on infrastructure, engineering and society </w:t>
      </w:r>
    </w:p>
    <w:p w14:paraId="76BA6C74" w14:textId="2DFA5560" w:rsidR="00945511" w:rsidRPr="00945511" w:rsidRDefault="00D03289" w:rsidP="005E0A8B">
      <w:pPr>
        <w:pStyle w:val="NoSpacing"/>
        <w:jc w:val="center"/>
      </w:pPr>
      <w:r>
        <w:t>Spring</w:t>
      </w:r>
      <w:r w:rsidR="00945511" w:rsidRPr="00945511">
        <w:t xml:space="preserve"> Semester 20</w:t>
      </w:r>
      <w:r>
        <w:t>19</w:t>
      </w:r>
    </w:p>
    <w:p w14:paraId="68DF919A" w14:textId="77777777" w:rsidR="00945511" w:rsidRPr="00945511" w:rsidRDefault="00945511" w:rsidP="005E0A8B">
      <w:pPr>
        <w:pStyle w:val="NoSpacing"/>
        <w:jc w:val="center"/>
      </w:pPr>
      <w:r w:rsidRPr="00945511">
        <w:t>ARTSCI 1137.xx</w:t>
      </w:r>
    </w:p>
    <w:p w14:paraId="63E1BDB3" w14:textId="77777777" w:rsidR="00945511" w:rsidRPr="00945511" w:rsidRDefault="00945511" w:rsidP="005E0A8B">
      <w:pPr>
        <w:pStyle w:val="NoSpacing"/>
        <w:jc w:val="center"/>
      </w:pPr>
      <w:r w:rsidRPr="00945511">
        <w:t>1 Credit</w:t>
      </w:r>
    </w:p>
    <w:p w14:paraId="7C881B67" w14:textId="6637666C" w:rsidR="00945511" w:rsidRPr="00945511" w:rsidRDefault="00945511" w:rsidP="005E0A8B">
      <w:pPr>
        <w:pStyle w:val="NoSpacing"/>
        <w:jc w:val="center"/>
      </w:pPr>
      <w:r w:rsidRPr="00945511">
        <w:t>Day, Time, Place TBA</w:t>
      </w:r>
    </w:p>
    <w:p w14:paraId="131D57CC" w14:textId="77777777" w:rsidR="00945511" w:rsidRPr="00945511" w:rsidRDefault="00945511" w:rsidP="005E0A8B">
      <w:pPr>
        <w:pStyle w:val="Heading2"/>
      </w:pPr>
    </w:p>
    <w:p w14:paraId="1AA35E78" w14:textId="7CC073E9" w:rsidR="00633E89" w:rsidRPr="00945511" w:rsidRDefault="00633E89" w:rsidP="005E0A8B">
      <w:pPr>
        <w:pStyle w:val="Heading2"/>
      </w:pPr>
      <w:r w:rsidRPr="00945511">
        <w:t>Course Description</w:t>
      </w:r>
      <w:r w:rsidR="00945511">
        <w:t xml:space="preserve">: </w:t>
      </w:r>
    </w:p>
    <w:p w14:paraId="60B5EA28" w14:textId="6E11D88B" w:rsidR="0076690F" w:rsidRPr="0076690F" w:rsidRDefault="00945511" w:rsidP="00B602D7">
      <w:pPr>
        <w:pStyle w:val="NoSpacing"/>
      </w:pPr>
      <w:r>
        <w:t>Extreme events such as hurricanes Maria, Irma and Harvey in 201</w:t>
      </w:r>
      <w:r w:rsidR="00B602D7">
        <w:t>7</w:t>
      </w:r>
      <w:r>
        <w:t xml:space="preserve">, </w:t>
      </w:r>
      <w:r w:rsidR="00B602D7">
        <w:t xml:space="preserve">Katrina in 2005, </w:t>
      </w:r>
      <w:r>
        <w:t>or the 2011 Tohoku earthquake</w:t>
      </w:r>
      <w:r w:rsidR="00473348" w:rsidRPr="00945511">
        <w:t xml:space="preserve"> </w:t>
      </w:r>
      <w:r w:rsidR="00CC1B18">
        <w:t>and T</w:t>
      </w:r>
      <w:r>
        <w:t>sunami in Japan</w:t>
      </w:r>
      <w:r w:rsidR="0076690F">
        <w:t>,</w:t>
      </w:r>
      <w:r>
        <w:t xml:space="preserve"> </w:t>
      </w:r>
      <w:r w:rsidR="00FF0553">
        <w:t xml:space="preserve">have resulted in high death tolls, </w:t>
      </w:r>
      <w:r w:rsidR="00887D6B">
        <w:t xml:space="preserve">and </w:t>
      </w:r>
      <w:r w:rsidR="00B602D7">
        <w:t xml:space="preserve">devastating </w:t>
      </w:r>
      <w:r w:rsidR="00887D6B">
        <w:t>d</w:t>
      </w:r>
      <w:r w:rsidR="00F923DF">
        <w:t>a</w:t>
      </w:r>
      <w:r w:rsidR="00887D6B">
        <w:t>mage to housing units</w:t>
      </w:r>
      <w:r w:rsidR="00F923DF">
        <w:t xml:space="preserve">, </w:t>
      </w:r>
      <w:r w:rsidR="00887D6B">
        <w:t xml:space="preserve">urban </w:t>
      </w:r>
      <w:r>
        <w:t>infrast</w:t>
      </w:r>
      <w:r w:rsidR="00FF0553">
        <w:t>ructure</w:t>
      </w:r>
      <w:r w:rsidR="00F923DF">
        <w:t>, and lifelines (water, power …)</w:t>
      </w:r>
      <w:r w:rsidR="00887D6B">
        <w:t xml:space="preserve">. </w:t>
      </w:r>
      <w:r w:rsidR="00B602D7">
        <w:t>E</w:t>
      </w:r>
      <w:r w:rsidR="00887D6B">
        <w:t>mergency response to extreme events is difficult due to the</w:t>
      </w:r>
      <w:r w:rsidR="00CE33A4">
        <w:t>ir large impacts</w:t>
      </w:r>
      <w:r w:rsidR="00887D6B">
        <w:t>, and recovery often very slow</w:t>
      </w:r>
      <w:r w:rsidR="00B602D7">
        <w:t xml:space="preserve">, as exemplified in New Orleans </w:t>
      </w:r>
      <w:r w:rsidR="00C1433D">
        <w:t>after</w:t>
      </w:r>
      <w:r w:rsidR="00B602D7">
        <w:t xml:space="preserve"> hurricane Katrina in 2005, and </w:t>
      </w:r>
      <w:r w:rsidR="00C1433D">
        <w:t>currently in</w:t>
      </w:r>
      <w:r w:rsidR="00B602D7">
        <w:t xml:space="preserve"> Puerto Rico </w:t>
      </w:r>
      <w:r w:rsidR="00C1433D">
        <w:t>after</w:t>
      </w:r>
      <w:r w:rsidR="00B602D7">
        <w:t xml:space="preserve"> hurricanes Irma and Maria in 2017 (both </w:t>
      </w:r>
      <w:r w:rsidR="00CE33A4">
        <w:t xml:space="preserve">events </w:t>
      </w:r>
      <w:r w:rsidR="00B602D7">
        <w:t xml:space="preserve">with </w:t>
      </w:r>
      <w:r w:rsidR="00C1433D">
        <w:t>estimated</w:t>
      </w:r>
      <w:r w:rsidR="00B602D7">
        <w:t xml:space="preserve"> total cost</w:t>
      </w:r>
      <w:r w:rsidR="00C1433D">
        <w:t>s in excess of</w:t>
      </w:r>
      <w:r w:rsidR="00B602D7">
        <w:t xml:space="preserve"> $160</w:t>
      </w:r>
      <w:r w:rsidR="00CE33A4">
        <w:t>B</w:t>
      </w:r>
      <w:r w:rsidR="00B602D7">
        <w:t>)</w:t>
      </w:r>
      <w:r w:rsidR="00887D6B">
        <w:t xml:space="preserve">. </w:t>
      </w:r>
      <w:r w:rsidR="00C1433D">
        <w:t>In </w:t>
      </w:r>
      <w:r w:rsidR="00F923DF">
        <w:t>developing countries</w:t>
      </w:r>
      <w:r w:rsidR="00C1433D">
        <w:t>,</w:t>
      </w:r>
      <w:r w:rsidR="00F923DF">
        <w:t xml:space="preserve"> where resources </w:t>
      </w:r>
      <w:r w:rsidR="00CE33A4">
        <w:t>tend to be</w:t>
      </w:r>
      <w:r w:rsidR="00C1433D">
        <w:t xml:space="preserve"> </w:t>
      </w:r>
      <w:r w:rsidR="00F923DF">
        <w:t xml:space="preserve">limited, extreme events </w:t>
      </w:r>
      <w:r w:rsidR="00B602D7">
        <w:t>such as earthquakes and typhoons, often</w:t>
      </w:r>
      <w:r w:rsidR="00F923DF">
        <w:t xml:space="preserve"> result in medical threats from infectious diseases</w:t>
      </w:r>
      <w:r w:rsidR="00B602D7">
        <w:t xml:space="preserve"> due to the limited availability of clean water and </w:t>
      </w:r>
      <w:r w:rsidR="00C1433D">
        <w:t xml:space="preserve">emergency </w:t>
      </w:r>
      <w:r w:rsidR="00B602D7">
        <w:t>medical services</w:t>
      </w:r>
      <w:r w:rsidR="00CE33A4">
        <w:t xml:space="preserve"> (e.g., 2010 Haiti and 2015 Nepal </w:t>
      </w:r>
      <w:proofErr w:type="spellStart"/>
      <w:r w:rsidR="00CE33A4">
        <w:t>earhquakes</w:t>
      </w:r>
      <w:proofErr w:type="spellEnd"/>
      <w:r w:rsidR="00CE33A4">
        <w:t>)</w:t>
      </w:r>
      <w:r w:rsidR="00F923DF">
        <w:t xml:space="preserve">. </w:t>
      </w:r>
      <w:r w:rsidR="00B602D7">
        <w:t>Furthermore</w:t>
      </w:r>
      <w:r w:rsidR="00427C27">
        <w:t xml:space="preserve">, </w:t>
      </w:r>
      <w:r w:rsidR="00B602D7">
        <w:t>historical</w:t>
      </w:r>
      <w:r w:rsidR="00427C27">
        <w:t xml:space="preserve"> </w:t>
      </w:r>
      <w:r w:rsidR="00CE33A4">
        <w:t xml:space="preserve">decisions in planning, </w:t>
      </w:r>
      <w:r w:rsidR="00427C27">
        <w:t xml:space="preserve">engineering </w:t>
      </w:r>
      <w:r w:rsidR="00B602D7">
        <w:t>and/</w:t>
      </w:r>
      <w:r w:rsidR="00427C27">
        <w:t>or urban</w:t>
      </w:r>
      <w:r w:rsidR="00CE33A4">
        <w:t xml:space="preserve"> development, </w:t>
      </w:r>
      <w:r w:rsidR="00427C27">
        <w:t>play important role</w:t>
      </w:r>
      <w:r w:rsidR="00CE33A4">
        <w:t>s</w:t>
      </w:r>
      <w:r w:rsidR="00427C27">
        <w:t xml:space="preserve"> </w:t>
      </w:r>
      <w:r w:rsidR="00B602D7">
        <w:t>that</w:t>
      </w:r>
      <w:r w:rsidR="00427C27">
        <w:t xml:space="preserve"> </w:t>
      </w:r>
      <w:r w:rsidR="00C1433D">
        <w:t>often magnif</w:t>
      </w:r>
      <w:r w:rsidR="00CE33A4">
        <w:t>y</w:t>
      </w:r>
      <w:r w:rsidR="00427C27">
        <w:t xml:space="preserve"> the destructive effects of extreme events (e.g., </w:t>
      </w:r>
      <w:r w:rsidR="00CE33A4">
        <w:t xml:space="preserve">the </w:t>
      </w:r>
      <w:r w:rsidR="00427C27">
        <w:t xml:space="preserve">levee </w:t>
      </w:r>
      <w:r w:rsidR="00B602D7">
        <w:t>construction/</w:t>
      </w:r>
      <w:r w:rsidR="00427C27">
        <w:t>design</w:t>
      </w:r>
      <w:r w:rsidR="00B602D7">
        <w:t xml:space="preserve"> methods</w:t>
      </w:r>
      <w:r w:rsidR="00427C27">
        <w:t xml:space="preserve"> </w:t>
      </w:r>
      <w:r w:rsidR="00B602D7">
        <w:t>and urban planning</w:t>
      </w:r>
      <w:r w:rsidR="00427C27">
        <w:t xml:space="preserve"> used in New Orleans</w:t>
      </w:r>
      <w:r w:rsidR="00CE33A4">
        <w:t>, and the urban planning in the center of Kobe, in Japan</w:t>
      </w:r>
      <w:r w:rsidR="00427C27">
        <w:t xml:space="preserve">). </w:t>
      </w:r>
      <w:r w:rsidR="00902405">
        <w:t>Since many global warming models predict a</w:t>
      </w:r>
      <w:r w:rsidR="00C1433D">
        <w:t xml:space="preserve"> sharp</w:t>
      </w:r>
      <w:r w:rsidR="00902405">
        <w:t xml:space="preserve"> increase in the number, as well as </w:t>
      </w:r>
      <w:r w:rsidR="00B602D7">
        <w:t>severity</w:t>
      </w:r>
      <w:r w:rsidR="00902405">
        <w:t>, of extreme events it is important to learn from past disaster</w:t>
      </w:r>
      <w:r w:rsidR="00C1433D">
        <w:t>, in order</w:t>
      </w:r>
      <w:r w:rsidR="00902405">
        <w:t xml:space="preserve"> to reduce their </w:t>
      </w:r>
      <w:r w:rsidR="00C1433D">
        <w:t>potential</w:t>
      </w:r>
      <w:r w:rsidR="00B602D7">
        <w:t xml:space="preserve"> </w:t>
      </w:r>
      <w:r w:rsidR="00C1433D">
        <w:t>for destruction</w:t>
      </w:r>
      <w:r w:rsidR="00902405">
        <w:t xml:space="preserve">. </w:t>
      </w:r>
      <w:r w:rsidR="0076690F">
        <w:t>In this seminar, we will examine six major disasters, i</w:t>
      </w:r>
      <w:r w:rsidR="00B602D7">
        <w:t>ncluding local</w:t>
      </w:r>
      <w:r w:rsidR="0076690F">
        <w:t xml:space="preserve"> case histories, and discuss </w:t>
      </w:r>
      <w:r w:rsidR="00CE33A4">
        <w:t xml:space="preserve">engineering design methods/concepts, as well as, </w:t>
      </w:r>
      <w:r w:rsidR="0076690F">
        <w:t>their effects in terms of preparedness, vulnerability, r</w:t>
      </w:r>
      <w:r w:rsidR="0076690F" w:rsidRPr="0076690F">
        <w:t>obustness, flexibility</w:t>
      </w:r>
      <w:r w:rsidR="0076690F">
        <w:t>,</w:t>
      </w:r>
      <w:r w:rsidR="0076690F" w:rsidRPr="0076690F">
        <w:t xml:space="preserve"> </w:t>
      </w:r>
      <w:r w:rsidR="0076690F">
        <w:t xml:space="preserve">and </w:t>
      </w:r>
      <w:r w:rsidR="0076690F" w:rsidRPr="0076690F">
        <w:t>resilience</w:t>
      </w:r>
      <w:r w:rsidR="0076690F">
        <w:t>.</w:t>
      </w:r>
      <w:r w:rsidR="00DD13A1">
        <w:t xml:space="preserve"> </w:t>
      </w:r>
    </w:p>
    <w:p w14:paraId="4E095D44" w14:textId="38EB70DA" w:rsidR="00473348" w:rsidRDefault="00473348" w:rsidP="00777F7F">
      <w:pPr>
        <w:rPr>
          <w:rFonts w:ascii="Times New Roman" w:hAnsi="Times New Roman" w:cs="Times New Roman"/>
        </w:rPr>
      </w:pPr>
    </w:p>
    <w:p w14:paraId="3B553915" w14:textId="77777777" w:rsidR="006745E0" w:rsidRPr="00945511" w:rsidRDefault="006745E0" w:rsidP="00777F7F">
      <w:pPr>
        <w:rPr>
          <w:rFonts w:ascii="Times New Roman" w:hAnsi="Times New Roman" w:cs="Times New Roman"/>
        </w:rPr>
      </w:pPr>
    </w:p>
    <w:p w14:paraId="2788F98C" w14:textId="3F5A92B7" w:rsidR="00B71584" w:rsidRPr="00945511" w:rsidRDefault="0076690F" w:rsidP="005E0A8B">
      <w:pPr>
        <w:pStyle w:val="Heading2"/>
      </w:pPr>
      <w:r>
        <w:t>Course Objectives</w:t>
      </w:r>
      <w:r w:rsidR="00633E89" w:rsidRPr="00945511">
        <w:t xml:space="preserve">: </w:t>
      </w:r>
    </w:p>
    <w:p w14:paraId="001D79E2" w14:textId="54A23598" w:rsidR="00902405" w:rsidRDefault="0076690F" w:rsidP="000B299C">
      <w:pPr>
        <w:pStyle w:val="NoSpacing"/>
        <w:numPr>
          <w:ilvl w:val="0"/>
          <w:numId w:val="24"/>
        </w:numPr>
      </w:pPr>
      <w:r w:rsidRPr="0076690F">
        <w:t xml:space="preserve">To expose students to </w:t>
      </w:r>
      <w:r w:rsidR="00902405">
        <w:t xml:space="preserve">the </w:t>
      </w:r>
      <w:r w:rsidR="00427C27">
        <w:t xml:space="preserve">main </w:t>
      </w:r>
      <w:r w:rsidR="00902405">
        <w:t>impacts and</w:t>
      </w:r>
      <w:r w:rsidRPr="0076690F">
        <w:t xml:space="preserve"> threats</w:t>
      </w:r>
      <w:r w:rsidR="00902405">
        <w:t xml:space="preserve"> caused by extreme events</w:t>
      </w:r>
      <w:r w:rsidR="007A1DCF">
        <w:t>;</w:t>
      </w:r>
    </w:p>
    <w:p w14:paraId="46741BE6" w14:textId="547E3F45" w:rsidR="00427C27" w:rsidRDefault="00427C27" w:rsidP="000B299C">
      <w:pPr>
        <w:pStyle w:val="NoSpacing"/>
        <w:numPr>
          <w:ilvl w:val="0"/>
          <w:numId w:val="24"/>
        </w:numPr>
      </w:pPr>
      <w:r>
        <w:t xml:space="preserve">To provide beginning understanding of the engineering </w:t>
      </w:r>
      <w:r w:rsidR="007A1DCF">
        <w:t xml:space="preserve">design </w:t>
      </w:r>
      <w:r>
        <w:t xml:space="preserve">methods used to </w:t>
      </w:r>
      <w:r w:rsidR="007A1DCF">
        <w:t xml:space="preserve">prevent and/or </w:t>
      </w:r>
      <w:r>
        <w:t>mitigate extreme events</w:t>
      </w:r>
      <w:r w:rsidR="007A1DCF">
        <w:t>, and their later consequences;</w:t>
      </w:r>
    </w:p>
    <w:p w14:paraId="569F80CC" w14:textId="01EB474E" w:rsidR="00427C27" w:rsidRDefault="00902405" w:rsidP="000B299C">
      <w:pPr>
        <w:pStyle w:val="NoSpacing"/>
        <w:numPr>
          <w:ilvl w:val="0"/>
          <w:numId w:val="24"/>
        </w:numPr>
      </w:pPr>
      <w:r>
        <w:t xml:space="preserve">To provide beginning understanding of </w:t>
      </w:r>
      <w:r w:rsidR="007A1DCF">
        <w:t>how</w:t>
      </w:r>
      <w:r>
        <w:t xml:space="preserve"> </w:t>
      </w:r>
      <w:r w:rsidR="00887519">
        <w:t xml:space="preserve">engineers apply </w:t>
      </w:r>
      <w:r w:rsidR="007A1DCF">
        <w:t>design procedure</w:t>
      </w:r>
      <w:r w:rsidR="00887519">
        <w:t>s</w:t>
      </w:r>
      <w:r w:rsidR="007A1DCF">
        <w:t>,</w:t>
      </w:r>
      <w:r w:rsidR="00887519">
        <w:t xml:space="preserve"> and how</w:t>
      </w:r>
      <w:r w:rsidR="007A1DCF">
        <w:t xml:space="preserve"> building codes </w:t>
      </w:r>
      <w:r w:rsidR="00887519">
        <w:t xml:space="preserve">and methods </w:t>
      </w:r>
      <w:r w:rsidR="007A1DCF">
        <w:t>evolve following</w:t>
      </w:r>
      <w:r w:rsidR="00427C27">
        <w:t xml:space="preserve"> extreme events</w:t>
      </w:r>
      <w:r w:rsidR="007A1DCF">
        <w:t>;</w:t>
      </w:r>
    </w:p>
    <w:p w14:paraId="209663E9" w14:textId="28E864AD" w:rsidR="00427C27" w:rsidRDefault="00427C27" w:rsidP="000B299C">
      <w:pPr>
        <w:pStyle w:val="NoSpacing"/>
        <w:numPr>
          <w:ilvl w:val="0"/>
          <w:numId w:val="24"/>
        </w:numPr>
      </w:pPr>
      <w:r w:rsidRPr="0076690F">
        <w:t xml:space="preserve">To introduce current topics </w:t>
      </w:r>
      <w:r>
        <w:t xml:space="preserve">in resilience </w:t>
      </w:r>
      <w:r w:rsidR="007A1DCF">
        <w:t xml:space="preserve">and civil </w:t>
      </w:r>
      <w:r>
        <w:t>engineering</w:t>
      </w:r>
      <w:r w:rsidR="007A1DCF">
        <w:t>.</w:t>
      </w:r>
    </w:p>
    <w:p w14:paraId="1E720AB1" w14:textId="3BD790B1" w:rsidR="00427C27" w:rsidRDefault="00427C27" w:rsidP="000B299C">
      <w:pPr>
        <w:pStyle w:val="NoSpacing"/>
      </w:pPr>
    </w:p>
    <w:p w14:paraId="57D6A713" w14:textId="77777777" w:rsidR="006745E0" w:rsidRPr="0076690F" w:rsidRDefault="006745E0" w:rsidP="000B299C">
      <w:pPr>
        <w:pStyle w:val="NoSpacing"/>
      </w:pPr>
    </w:p>
    <w:p w14:paraId="4900248F" w14:textId="12E96E32" w:rsidR="000653C4" w:rsidRPr="00945511" w:rsidRDefault="000653C4" w:rsidP="005E0A8B">
      <w:pPr>
        <w:pStyle w:val="Heading2"/>
      </w:pPr>
      <w:r w:rsidRPr="00945511">
        <w:t xml:space="preserve">Course Website </w:t>
      </w:r>
    </w:p>
    <w:p w14:paraId="2587666E" w14:textId="2B028099" w:rsidR="000653C4" w:rsidRPr="00945511" w:rsidRDefault="000653C4" w:rsidP="00777F7F">
      <w:pPr>
        <w:rPr>
          <w:rFonts w:ascii="Times New Roman" w:hAnsi="Times New Roman" w:cs="Times New Roman"/>
        </w:rPr>
      </w:pPr>
      <w:r w:rsidRPr="00945511">
        <w:rPr>
          <w:rFonts w:ascii="Times New Roman" w:hAnsi="Times New Roman" w:cs="Times New Roman"/>
        </w:rPr>
        <w:t>All course material</w:t>
      </w:r>
      <w:r w:rsidR="00766CAF">
        <w:rPr>
          <w:rFonts w:ascii="Times New Roman" w:hAnsi="Times New Roman" w:cs="Times New Roman"/>
        </w:rPr>
        <w:t xml:space="preserve">, including student work expectations and course updates, </w:t>
      </w:r>
      <w:r w:rsidRPr="00945511">
        <w:rPr>
          <w:rFonts w:ascii="Times New Roman" w:hAnsi="Times New Roman" w:cs="Times New Roman"/>
        </w:rPr>
        <w:t xml:space="preserve">will be posted on our Carmen site at </w:t>
      </w:r>
      <w:hyperlink r:id="rId8" w:history="1">
        <w:r w:rsidRPr="00945511">
          <w:rPr>
            <w:rStyle w:val="Hyperlink"/>
            <w:rFonts w:ascii="Times New Roman" w:hAnsi="Times New Roman" w:cs="Times New Roman"/>
            <w:bCs/>
          </w:rPr>
          <w:t>http://www.carmen.osu.edu</w:t>
        </w:r>
      </w:hyperlink>
      <w:r w:rsidRPr="00945511">
        <w:rPr>
          <w:rFonts w:ascii="Times New Roman" w:hAnsi="Times New Roman" w:cs="Times New Roman"/>
        </w:rPr>
        <w:t xml:space="preserve"> .</w:t>
      </w:r>
    </w:p>
    <w:p w14:paraId="0F559339" w14:textId="77777777" w:rsidR="009D2591" w:rsidRDefault="009D2591" w:rsidP="00704B62">
      <w:pPr>
        <w:pStyle w:val="Heading2"/>
      </w:pPr>
    </w:p>
    <w:p w14:paraId="4ABF2A63" w14:textId="77777777" w:rsidR="006745E0" w:rsidRDefault="006745E0">
      <w:pPr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b/>
          <w:bCs/>
          <w:color w:val="000000"/>
          <w:sz w:val="28"/>
        </w:rPr>
      </w:pPr>
      <w:r>
        <w:br w:type="page"/>
      </w:r>
    </w:p>
    <w:p w14:paraId="4A3F2AB8" w14:textId="330E682C" w:rsidR="00704B62" w:rsidRDefault="009D2591" w:rsidP="00704B62">
      <w:pPr>
        <w:pStyle w:val="Heading2"/>
      </w:pPr>
      <w:r>
        <w:lastRenderedPageBreak/>
        <w:t>R</w:t>
      </w:r>
      <w:r w:rsidR="00704B62">
        <w:t>equired Activities:</w:t>
      </w:r>
    </w:p>
    <w:p w14:paraId="701D654B" w14:textId="263632EB" w:rsidR="00DD13A1" w:rsidRPr="00DD13A1" w:rsidRDefault="00704B62" w:rsidP="00A30752">
      <w:pPr>
        <w:pStyle w:val="NoSpacing"/>
        <w:numPr>
          <w:ilvl w:val="0"/>
          <w:numId w:val="28"/>
        </w:numPr>
      </w:pPr>
      <w:r>
        <w:t xml:space="preserve">Students are </w:t>
      </w:r>
      <w:r w:rsidRPr="00DD13A1">
        <w:t>expected</w:t>
      </w:r>
      <w:r>
        <w:t xml:space="preserve"> to attend class and participate in </w:t>
      </w:r>
      <w:r w:rsidR="00887519">
        <w:t>all</w:t>
      </w:r>
      <w:r>
        <w:t xml:space="preserve"> seminar discussions.</w:t>
      </w:r>
      <w:r w:rsidR="00DD13A1">
        <w:t xml:space="preserve"> </w:t>
      </w:r>
    </w:p>
    <w:p w14:paraId="65D8B7E3" w14:textId="79EB0FA5" w:rsidR="00BC1791" w:rsidRDefault="00704B62" w:rsidP="00DD13A1">
      <w:pPr>
        <w:pStyle w:val="NoSpacing"/>
        <w:numPr>
          <w:ilvl w:val="0"/>
          <w:numId w:val="28"/>
        </w:numPr>
      </w:pPr>
      <w:r>
        <w:t>Weekly reading</w:t>
      </w:r>
      <w:r w:rsidR="00BC1791">
        <w:t>s</w:t>
      </w:r>
      <w:r w:rsidR="00C1433D">
        <w:t>, student presentations,</w:t>
      </w:r>
      <w:r>
        <w:t xml:space="preserve"> </w:t>
      </w:r>
      <w:r w:rsidR="00DD13A1">
        <w:t xml:space="preserve">and individual research </w:t>
      </w:r>
      <w:r w:rsidR="00BC1791">
        <w:t>are expected;</w:t>
      </w:r>
    </w:p>
    <w:p w14:paraId="00DE1FAA" w14:textId="20D14978" w:rsidR="00BC1791" w:rsidRDefault="00DD13A1" w:rsidP="00DD13A1">
      <w:pPr>
        <w:pStyle w:val="NoSpacing"/>
        <w:numPr>
          <w:ilvl w:val="0"/>
          <w:numId w:val="28"/>
        </w:numPr>
      </w:pPr>
      <w:r>
        <w:t xml:space="preserve">Prior to each </w:t>
      </w:r>
      <w:r w:rsidR="00C1433D">
        <w:t>student presentation,</w:t>
      </w:r>
      <w:r>
        <w:t xml:space="preserve"> students will submit a one page (~250 words) “executive report” regarding an aspect </w:t>
      </w:r>
      <w:r w:rsidR="00BC1791">
        <w:t xml:space="preserve">(assigned by instructor) </w:t>
      </w:r>
      <w:r>
        <w:t xml:space="preserve">of </w:t>
      </w:r>
      <w:r w:rsidR="00BC1791">
        <w:t>a</w:t>
      </w:r>
      <w:r>
        <w:t xml:space="preserve"> case history</w:t>
      </w:r>
      <w:r w:rsidR="00BC1791">
        <w:t>;</w:t>
      </w:r>
    </w:p>
    <w:p w14:paraId="60580080" w14:textId="3B084431" w:rsidR="00704B62" w:rsidRDefault="00C1433D" w:rsidP="00352CDC">
      <w:pPr>
        <w:pStyle w:val="NoSpacing"/>
        <w:numPr>
          <w:ilvl w:val="0"/>
          <w:numId w:val="28"/>
        </w:numPr>
      </w:pPr>
      <w:r>
        <w:t xml:space="preserve">Student presentations in </w:t>
      </w:r>
      <w:r w:rsidR="00704B62">
        <w:t xml:space="preserve">groups </w:t>
      </w:r>
      <w:r>
        <w:t>of two to three students (</w:t>
      </w:r>
      <w:r w:rsidR="00704B62">
        <w:t>depending on the size of enrollment) will focus on</w:t>
      </w:r>
      <w:r w:rsidR="00BC1791">
        <w:t xml:space="preserve"> a</w:t>
      </w:r>
      <w:r w:rsidR="00870768">
        <w:t xml:space="preserve"> particular</w:t>
      </w:r>
      <w:r w:rsidR="00BC1791">
        <w:t xml:space="preserve"> impact (assigned by instructor) of </w:t>
      </w:r>
      <w:r w:rsidR="00887519">
        <w:t>an</w:t>
      </w:r>
      <w:r w:rsidR="00BC1791">
        <w:t xml:space="preserve"> extreme event (e.g., flooding, transportation, po</w:t>
      </w:r>
      <w:r>
        <w:t>wer generation, clean water</w:t>
      </w:r>
      <w:r w:rsidR="00887519">
        <w:t>, medical needs, etc.</w:t>
      </w:r>
      <w:r>
        <w:t>). Depending on the topic assigned</w:t>
      </w:r>
      <w:r w:rsidR="00887519">
        <w:t xml:space="preserve"> by the instructor</w:t>
      </w:r>
      <w:r>
        <w:t xml:space="preserve">, </w:t>
      </w:r>
      <w:r w:rsidR="00887519">
        <w:t xml:space="preserve">student </w:t>
      </w:r>
      <w:r w:rsidR="00BC1791">
        <w:t>presentation</w:t>
      </w:r>
      <w:r w:rsidR="00870768">
        <w:t>s</w:t>
      </w:r>
      <w:r w:rsidR="00BC1791">
        <w:t xml:space="preserve"> </w:t>
      </w:r>
      <w:r>
        <w:t>will address</w:t>
      </w:r>
      <w:r w:rsidR="009D2591">
        <w:t xml:space="preserve"> some or all of the following</w:t>
      </w:r>
      <w:r w:rsidR="00BC1791">
        <w:t>:</w:t>
      </w:r>
    </w:p>
    <w:p w14:paraId="6700840D" w14:textId="3C568C1B" w:rsidR="00BC1791" w:rsidRDefault="00BC1791" w:rsidP="00BC1791">
      <w:pPr>
        <w:pStyle w:val="NoSpacing"/>
        <w:numPr>
          <w:ilvl w:val="1"/>
          <w:numId w:val="28"/>
        </w:numPr>
      </w:pPr>
      <w:r>
        <w:t xml:space="preserve">A </w:t>
      </w:r>
      <w:r w:rsidR="00C1433D">
        <w:t xml:space="preserve">brief </w:t>
      </w:r>
      <w:r>
        <w:t xml:space="preserve">description of the </w:t>
      </w:r>
      <w:r w:rsidR="00887519">
        <w:t xml:space="preserve">assigned topic and its </w:t>
      </w:r>
      <w:r w:rsidR="00C1433D">
        <w:t xml:space="preserve">main </w:t>
      </w:r>
      <w:r>
        <w:t>effects</w:t>
      </w:r>
      <w:r w:rsidR="00C1433D">
        <w:t xml:space="preserve"> (e.g.,</w:t>
      </w:r>
      <w:r w:rsidR="006745E0">
        <w:t xml:space="preserve"> type of devastation,</w:t>
      </w:r>
      <w:r>
        <w:t xml:space="preserve"> health</w:t>
      </w:r>
      <w:r w:rsidR="006745E0">
        <w:t xml:space="preserve"> threats, economic impacts)</w:t>
      </w:r>
      <w:r>
        <w:t>;</w:t>
      </w:r>
    </w:p>
    <w:p w14:paraId="5920AC3C" w14:textId="10FDB89F" w:rsidR="006745E0" w:rsidRDefault="006745E0" w:rsidP="006745E0">
      <w:pPr>
        <w:pStyle w:val="NoSpacing"/>
        <w:numPr>
          <w:ilvl w:val="1"/>
          <w:numId w:val="28"/>
        </w:numPr>
      </w:pPr>
      <w:r>
        <w:t xml:space="preserve">Preparedness </w:t>
      </w:r>
      <w:r w:rsidR="00887519">
        <w:t xml:space="preserve">of the city/region/country </w:t>
      </w:r>
      <w:r>
        <w:t xml:space="preserve">prior </w:t>
      </w:r>
      <w:r w:rsidR="00887519">
        <w:t>to the extreme event;</w:t>
      </w:r>
    </w:p>
    <w:p w14:paraId="557C61A6" w14:textId="3ACC3601" w:rsidR="006745E0" w:rsidRDefault="006745E0" w:rsidP="006745E0">
      <w:pPr>
        <w:pStyle w:val="NoSpacing"/>
        <w:numPr>
          <w:ilvl w:val="1"/>
          <w:numId w:val="28"/>
        </w:numPr>
      </w:pPr>
      <w:r>
        <w:t>Remedial measures implemented</w:t>
      </w:r>
      <w:r w:rsidR="00887519">
        <w:t xml:space="preserve"> after the extreme event</w:t>
      </w:r>
      <w:r>
        <w:t xml:space="preserve">; </w:t>
      </w:r>
    </w:p>
    <w:p w14:paraId="5EB940DC" w14:textId="2598AA7C" w:rsidR="00BC1791" w:rsidRDefault="00BC1791" w:rsidP="00BC1791">
      <w:pPr>
        <w:pStyle w:val="NoSpacing"/>
        <w:numPr>
          <w:ilvl w:val="1"/>
          <w:numId w:val="28"/>
        </w:numPr>
      </w:pPr>
      <w:r>
        <w:t xml:space="preserve">Short vs. long term consequences </w:t>
      </w:r>
      <w:r w:rsidR="00C1433D">
        <w:t>of the extreme event</w:t>
      </w:r>
      <w:r>
        <w:t>;</w:t>
      </w:r>
    </w:p>
    <w:p w14:paraId="6463F157" w14:textId="539CB591" w:rsidR="00BC1791" w:rsidRDefault="00BC1791" w:rsidP="00BC1791">
      <w:pPr>
        <w:pStyle w:val="NoSpacing"/>
        <w:numPr>
          <w:ilvl w:val="1"/>
          <w:numId w:val="28"/>
        </w:numPr>
      </w:pPr>
      <w:r>
        <w:t xml:space="preserve">Prevalence </w:t>
      </w:r>
      <w:r w:rsidR="006745E0">
        <w:t xml:space="preserve">of the impact </w:t>
      </w:r>
      <w:r>
        <w:t>and increased risk</w:t>
      </w:r>
      <w:r w:rsidR="006745E0">
        <w:t>s following the event</w:t>
      </w:r>
      <w:r>
        <w:t>;</w:t>
      </w:r>
    </w:p>
    <w:p w14:paraId="692E8E90" w14:textId="5F61872B" w:rsidR="00BC1791" w:rsidRDefault="00BC1791" w:rsidP="00BC1791">
      <w:pPr>
        <w:pStyle w:val="NoSpacing"/>
        <w:numPr>
          <w:ilvl w:val="1"/>
          <w:numId w:val="28"/>
        </w:numPr>
      </w:pPr>
      <w:r>
        <w:t>Societal and behavioral impacts;</w:t>
      </w:r>
    </w:p>
    <w:p w14:paraId="7DEF486D" w14:textId="69604694" w:rsidR="00BC1791" w:rsidRDefault="009D2591" w:rsidP="009D2591">
      <w:pPr>
        <w:pStyle w:val="NoSpacing"/>
        <w:numPr>
          <w:ilvl w:val="1"/>
          <w:numId w:val="28"/>
        </w:numPr>
      </w:pPr>
      <w:r>
        <w:t>Str</w:t>
      </w:r>
      <w:r w:rsidR="00BC1791">
        <w:t>ateg</w:t>
      </w:r>
      <w:r>
        <w:t>ies</w:t>
      </w:r>
      <w:r w:rsidR="00BC1791">
        <w:t xml:space="preserve"> for reducing </w:t>
      </w:r>
      <w:r w:rsidR="006745E0">
        <w:t>similar</w:t>
      </w:r>
      <w:r w:rsidR="00BC1791">
        <w:t xml:space="preserve"> threat</w:t>
      </w:r>
      <w:r w:rsidR="006745E0">
        <w:t>s</w:t>
      </w:r>
      <w:r w:rsidR="00887519">
        <w:t xml:space="preserve"> (</w:t>
      </w:r>
      <w:r w:rsidR="000344D0">
        <w:t xml:space="preserve">e.g., </w:t>
      </w:r>
      <w:r w:rsidR="00887519">
        <w:t xml:space="preserve">implemented </w:t>
      </w:r>
      <w:r w:rsidR="000344D0">
        <w:t>elsewhere)</w:t>
      </w:r>
      <w:r w:rsidR="006745E0">
        <w:t>.</w:t>
      </w:r>
    </w:p>
    <w:p w14:paraId="25273FC0" w14:textId="017546C1" w:rsidR="00766CAF" w:rsidRDefault="00766CAF" w:rsidP="00704B62">
      <w:pPr>
        <w:pStyle w:val="NoSpacing"/>
      </w:pPr>
    </w:p>
    <w:p w14:paraId="0B280E0B" w14:textId="77777777" w:rsidR="006745E0" w:rsidRDefault="006745E0" w:rsidP="00704B62">
      <w:pPr>
        <w:pStyle w:val="NoSpacing"/>
      </w:pPr>
    </w:p>
    <w:p w14:paraId="64734941" w14:textId="7A3AB9B7" w:rsidR="009C4FC0" w:rsidRPr="00945511" w:rsidRDefault="00766CAF" w:rsidP="00766CAF">
      <w:pPr>
        <w:pStyle w:val="Heading2"/>
      </w:pPr>
      <w:r>
        <w:t>E</w:t>
      </w:r>
      <w:r w:rsidR="009C4FC0" w:rsidRPr="00945511">
        <w:t>xpectations</w:t>
      </w:r>
    </w:p>
    <w:p w14:paraId="504D19CE" w14:textId="000C291F" w:rsidR="00777F7F" w:rsidRPr="00945511" w:rsidRDefault="009C4FC0" w:rsidP="00777F7F">
      <w:pPr>
        <w:rPr>
          <w:rFonts w:ascii="Times New Roman" w:hAnsi="Times New Roman" w:cs="Times New Roman"/>
        </w:rPr>
      </w:pPr>
      <w:r w:rsidRPr="00945511">
        <w:rPr>
          <w:rFonts w:ascii="Times New Roman" w:hAnsi="Times New Roman" w:cs="Times New Roman"/>
        </w:rPr>
        <w:t xml:space="preserve">Students will arrive prepared and on time for </w:t>
      </w:r>
      <w:r w:rsidR="00AD18B5" w:rsidRPr="00945511">
        <w:rPr>
          <w:rFonts w:ascii="Times New Roman" w:hAnsi="Times New Roman" w:cs="Times New Roman"/>
        </w:rPr>
        <w:t xml:space="preserve">each </w:t>
      </w:r>
      <w:r w:rsidRPr="00945511">
        <w:rPr>
          <w:rFonts w:ascii="Times New Roman" w:hAnsi="Times New Roman" w:cs="Times New Roman"/>
        </w:rPr>
        <w:t xml:space="preserve">class </w:t>
      </w:r>
      <w:r w:rsidR="00AD18B5" w:rsidRPr="00945511">
        <w:rPr>
          <w:rFonts w:ascii="Times New Roman" w:hAnsi="Times New Roman" w:cs="Times New Roman"/>
        </w:rPr>
        <w:t>and lab session</w:t>
      </w:r>
      <w:r w:rsidRPr="00945511">
        <w:rPr>
          <w:rFonts w:ascii="Times New Roman" w:hAnsi="Times New Roman" w:cs="Times New Roman"/>
        </w:rPr>
        <w:t xml:space="preserve">. </w:t>
      </w:r>
      <w:r w:rsidR="006745E0">
        <w:rPr>
          <w:rFonts w:ascii="Times New Roman" w:hAnsi="Times New Roman" w:cs="Times New Roman"/>
        </w:rPr>
        <w:t xml:space="preserve">Students’ </w:t>
      </w:r>
      <w:r w:rsidR="00D22EA9" w:rsidRPr="00945511">
        <w:rPr>
          <w:rFonts w:ascii="Times New Roman" w:hAnsi="Times New Roman" w:cs="Times New Roman"/>
        </w:rPr>
        <w:t xml:space="preserve">PowerPoint slides will be posted </w:t>
      </w:r>
      <w:r w:rsidR="006745E0">
        <w:rPr>
          <w:rFonts w:ascii="Times New Roman" w:hAnsi="Times New Roman" w:cs="Times New Roman"/>
        </w:rPr>
        <w:t xml:space="preserve">on Carmen </w:t>
      </w:r>
      <w:r w:rsidR="00D22EA9" w:rsidRPr="00945511">
        <w:rPr>
          <w:rFonts w:ascii="Times New Roman" w:hAnsi="Times New Roman" w:cs="Times New Roman"/>
        </w:rPr>
        <w:t>ahead of the lecture</w:t>
      </w:r>
      <w:r w:rsidR="006745E0">
        <w:rPr>
          <w:rFonts w:ascii="Times New Roman" w:hAnsi="Times New Roman" w:cs="Times New Roman"/>
        </w:rPr>
        <w:t>,</w:t>
      </w:r>
      <w:r w:rsidR="00D22EA9" w:rsidRPr="00945511">
        <w:rPr>
          <w:rFonts w:ascii="Times New Roman" w:hAnsi="Times New Roman" w:cs="Times New Roman"/>
        </w:rPr>
        <w:t xml:space="preserve"> and s</w:t>
      </w:r>
      <w:r w:rsidRPr="00945511">
        <w:rPr>
          <w:rFonts w:ascii="Times New Roman" w:hAnsi="Times New Roman" w:cs="Times New Roman"/>
        </w:rPr>
        <w:t>tudent</w:t>
      </w:r>
      <w:r w:rsidR="00AD18B5" w:rsidRPr="00945511">
        <w:rPr>
          <w:rFonts w:ascii="Times New Roman" w:hAnsi="Times New Roman" w:cs="Times New Roman"/>
        </w:rPr>
        <w:t>s</w:t>
      </w:r>
      <w:r w:rsidRPr="00945511">
        <w:rPr>
          <w:rFonts w:ascii="Times New Roman" w:hAnsi="Times New Roman" w:cs="Times New Roman"/>
        </w:rPr>
        <w:t xml:space="preserve"> are expected to have </w:t>
      </w:r>
      <w:r w:rsidR="006745E0">
        <w:rPr>
          <w:rFonts w:ascii="Times New Roman" w:hAnsi="Times New Roman" w:cs="Times New Roman"/>
        </w:rPr>
        <w:t>researched the case history</w:t>
      </w:r>
      <w:r w:rsidR="00D22EA9" w:rsidRPr="00945511">
        <w:rPr>
          <w:rFonts w:ascii="Times New Roman" w:hAnsi="Times New Roman" w:cs="Times New Roman"/>
        </w:rPr>
        <w:t xml:space="preserve"> </w:t>
      </w:r>
      <w:r w:rsidRPr="00945511">
        <w:rPr>
          <w:rFonts w:ascii="Times New Roman" w:hAnsi="Times New Roman" w:cs="Times New Roman"/>
        </w:rPr>
        <w:t xml:space="preserve">in advance of the lecture. </w:t>
      </w:r>
    </w:p>
    <w:p w14:paraId="7E7C0248" w14:textId="45361244" w:rsidR="00AD18B5" w:rsidRDefault="00AD18B5" w:rsidP="00777F7F">
      <w:pPr>
        <w:rPr>
          <w:rFonts w:ascii="Times New Roman" w:hAnsi="Times New Roman" w:cs="Times New Roman"/>
        </w:rPr>
      </w:pPr>
    </w:p>
    <w:p w14:paraId="4667A45A" w14:textId="77777777" w:rsidR="006745E0" w:rsidRPr="00945511" w:rsidRDefault="006745E0" w:rsidP="00777F7F">
      <w:pPr>
        <w:rPr>
          <w:rFonts w:ascii="Times New Roman" w:hAnsi="Times New Roman" w:cs="Times New Roman"/>
        </w:rPr>
      </w:pPr>
    </w:p>
    <w:p w14:paraId="01BABA44" w14:textId="77777777" w:rsidR="002E0D6F" w:rsidRPr="00945511" w:rsidRDefault="009C4FC0" w:rsidP="005E0A8B">
      <w:pPr>
        <w:pStyle w:val="Heading2"/>
      </w:pPr>
      <w:r w:rsidRPr="00945511">
        <w:t>Attendance Policy</w:t>
      </w:r>
      <w:r w:rsidR="002E0D6F" w:rsidRPr="00945511">
        <w:t xml:space="preserve"> / In-class pop quizzes</w:t>
      </w:r>
    </w:p>
    <w:p w14:paraId="7E5FE6B0" w14:textId="4F37C15C" w:rsidR="009D2591" w:rsidRDefault="002E0D6F" w:rsidP="00E225DB">
      <w:pPr>
        <w:rPr>
          <w:rFonts w:ascii="Times New Roman" w:hAnsi="Times New Roman" w:cs="Times New Roman"/>
        </w:rPr>
      </w:pPr>
      <w:r w:rsidRPr="00945511">
        <w:rPr>
          <w:rFonts w:ascii="Times New Roman" w:hAnsi="Times New Roman" w:cs="Times New Roman"/>
        </w:rPr>
        <w:t>A</w:t>
      </w:r>
      <w:r w:rsidR="00AD18B5" w:rsidRPr="00945511">
        <w:rPr>
          <w:rFonts w:ascii="Times New Roman" w:hAnsi="Times New Roman" w:cs="Times New Roman"/>
        </w:rPr>
        <w:t xml:space="preserve">ttendance is expected to all lectures, </w:t>
      </w:r>
      <w:r w:rsidR="009C4FC0" w:rsidRPr="00945511">
        <w:rPr>
          <w:rFonts w:ascii="Times New Roman" w:hAnsi="Times New Roman" w:cs="Times New Roman"/>
        </w:rPr>
        <w:t xml:space="preserve">so that students can obtain the information necessary to comprehend the </w:t>
      </w:r>
      <w:r w:rsidR="00AD18B5" w:rsidRPr="00945511">
        <w:rPr>
          <w:rFonts w:ascii="Times New Roman" w:hAnsi="Times New Roman" w:cs="Times New Roman"/>
        </w:rPr>
        <w:t>course</w:t>
      </w:r>
      <w:r w:rsidR="009C4FC0" w:rsidRPr="00945511">
        <w:rPr>
          <w:rFonts w:ascii="Times New Roman" w:hAnsi="Times New Roman" w:cs="Times New Roman"/>
        </w:rPr>
        <w:t xml:space="preserve"> content</w:t>
      </w:r>
      <w:r w:rsidR="00AD18B5" w:rsidRPr="00945511">
        <w:rPr>
          <w:rFonts w:ascii="Times New Roman" w:hAnsi="Times New Roman" w:cs="Times New Roman"/>
        </w:rPr>
        <w:t>, thus</w:t>
      </w:r>
      <w:r w:rsidR="009C4FC0" w:rsidRPr="00945511">
        <w:rPr>
          <w:rFonts w:ascii="Times New Roman" w:hAnsi="Times New Roman" w:cs="Times New Roman"/>
        </w:rPr>
        <w:t xml:space="preserve"> enabl</w:t>
      </w:r>
      <w:r w:rsidR="00AD18B5" w:rsidRPr="00945511">
        <w:rPr>
          <w:rFonts w:ascii="Times New Roman" w:hAnsi="Times New Roman" w:cs="Times New Roman"/>
        </w:rPr>
        <w:t>ing</w:t>
      </w:r>
      <w:r w:rsidR="009C4FC0" w:rsidRPr="00945511">
        <w:rPr>
          <w:rFonts w:ascii="Times New Roman" w:hAnsi="Times New Roman" w:cs="Times New Roman"/>
        </w:rPr>
        <w:t xml:space="preserve"> students to successfully </w:t>
      </w:r>
      <w:r w:rsidR="006745E0">
        <w:rPr>
          <w:rFonts w:ascii="Times New Roman" w:hAnsi="Times New Roman" w:cs="Times New Roman"/>
        </w:rPr>
        <w:t>discuss the topics covered</w:t>
      </w:r>
      <w:r w:rsidR="009C4FC0" w:rsidRPr="00945511">
        <w:rPr>
          <w:rFonts w:ascii="Times New Roman" w:hAnsi="Times New Roman" w:cs="Times New Roman"/>
        </w:rPr>
        <w:t>.</w:t>
      </w:r>
      <w:r w:rsidR="00E225DB" w:rsidRPr="00945511">
        <w:rPr>
          <w:rFonts w:ascii="Times New Roman" w:hAnsi="Times New Roman" w:cs="Times New Roman"/>
        </w:rPr>
        <w:t xml:space="preserve"> </w:t>
      </w:r>
    </w:p>
    <w:p w14:paraId="3CBB3E6D" w14:textId="77777777" w:rsidR="009D2591" w:rsidRDefault="009D2591" w:rsidP="00E225DB">
      <w:pPr>
        <w:rPr>
          <w:rFonts w:ascii="Times New Roman" w:hAnsi="Times New Roman" w:cs="Times New Roman"/>
        </w:rPr>
      </w:pPr>
    </w:p>
    <w:p w14:paraId="538CE3FD" w14:textId="24B370FB" w:rsidR="00283746" w:rsidRPr="00945511" w:rsidRDefault="00283746" w:rsidP="00E225DB">
      <w:pPr>
        <w:rPr>
          <w:rFonts w:ascii="Times New Roman" w:hAnsi="Times New Roman" w:cs="Times New Roman"/>
        </w:rPr>
      </w:pPr>
      <w:r w:rsidRPr="00945511">
        <w:rPr>
          <w:rFonts w:ascii="Times New Roman" w:hAnsi="Times New Roman" w:cs="Times New Roman"/>
        </w:rPr>
        <w:t xml:space="preserve">While attendance is generally not taken in lectures, there will be </w:t>
      </w:r>
      <w:r w:rsidR="000344D0">
        <w:rPr>
          <w:rFonts w:ascii="Times New Roman" w:hAnsi="Times New Roman" w:cs="Times New Roman"/>
        </w:rPr>
        <w:t xml:space="preserve">quiz </w:t>
      </w:r>
      <w:r w:rsidR="006745E0">
        <w:rPr>
          <w:rFonts w:ascii="Times New Roman" w:hAnsi="Times New Roman" w:cs="Times New Roman"/>
        </w:rPr>
        <w:t xml:space="preserve">questions </w:t>
      </w:r>
      <w:r w:rsidR="000344D0">
        <w:rPr>
          <w:rFonts w:ascii="Times New Roman" w:hAnsi="Times New Roman" w:cs="Times New Roman"/>
        </w:rPr>
        <w:t>submitted in class</w:t>
      </w:r>
      <w:r w:rsidR="00AD18B5" w:rsidRPr="00945511">
        <w:rPr>
          <w:rFonts w:ascii="Times New Roman" w:hAnsi="Times New Roman" w:cs="Times New Roman"/>
        </w:rPr>
        <w:t xml:space="preserve"> through </w:t>
      </w:r>
      <w:r w:rsidR="00AD18B5" w:rsidRPr="00945511">
        <w:rPr>
          <w:rFonts w:ascii="Times New Roman" w:hAnsi="Times New Roman" w:cs="Times New Roman"/>
          <w:b/>
          <w:i/>
        </w:rPr>
        <w:t>Top Hat</w:t>
      </w:r>
      <w:r w:rsidRPr="00945511">
        <w:rPr>
          <w:rFonts w:ascii="Times New Roman" w:hAnsi="Times New Roman" w:cs="Times New Roman"/>
        </w:rPr>
        <w:t xml:space="preserve"> on a regular basis to assess students’ learning. </w:t>
      </w:r>
    </w:p>
    <w:p w14:paraId="799C9B0A" w14:textId="77777777" w:rsidR="00283746" w:rsidRPr="00945511" w:rsidRDefault="00283746" w:rsidP="00E225DB">
      <w:pPr>
        <w:rPr>
          <w:rFonts w:ascii="Times New Roman" w:hAnsi="Times New Roman" w:cs="Times New Roman"/>
        </w:rPr>
      </w:pPr>
    </w:p>
    <w:p w14:paraId="43E94ED4" w14:textId="061A40B6" w:rsidR="009C4FC0" w:rsidRDefault="00E225DB" w:rsidP="00E225DB">
      <w:pPr>
        <w:rPr>
          <w:rFonts w:ascii="Times New Roman" w:hAnsi="Times New Roman" w:cs="Times New Roman"/>
        </w:rPr>
      </w:pPr>
      <w:r w:rsidRPr="00945511">
        <w:rPr>
          <w:rFonts w:ascii="Times New Roman" w:hAnsi="Times New Roman" w:cs="Times New Roman"/>
        </w:rPr>
        <w:t xml:space="preserve">Excused absences include illnesses for which you have a </w:t>
      </w:r>
      <w:r w:rsidRPr="00945511">
        <w:rPr>
          <w:rFonts w:ascii="Times New Roman" w:hAnsi="Times New Roman" w:cs="Times New Roman"/>
          <w:u w:val="single"/>
        </w:rPr>
        <w:t>doctor's note</w:t>
      </w:r>
      <w:r w:rsidRPr="00945511">
        <w:rPr>
          <w:rFonts w:ascii="Times New Roman" w:hAnsi="Times New Roman" w:cs="Times New Roman"/>
        </w:rPr>
        <w:t xml:space="preserve"> or other </w:t>
      </w:r>
      <w:r w:rsidRPr="00945511">
        <w:rPr>
          <w:rFonts w:ascii="Times New Roman" w:hAnsi="Times New Roman" w:cs="Times New Roman"/>
          <w:u w:val="single"/>
        </w:rPr>
        <w:t>documented</w:t>
      </w:r>
      <w:r w:rsidRPr="00945511">
        <w:rPr>
          <w:rFonts w:ascii="Times New Roman" w:hAnsi="Times New Roman" w:cs="Times New Roman"/>
        </w:rPr>
        <w:t xml:space="preserve"> extenuating circumstances.</w:t>
      </w:r>
    </w:p>
    <w:p w14:paraId="38312AFC" w14:textId="5E08A088" w:rsidR="009D2591" w:rsidRDefault="009D2591" w:rsidP="00E225DB">
      <w:pPr>
        <w:rPr>
          <w:rFonts w:ascii="Times New Roman" w:hAnsi="Times New Roman" w:cs="Times New Roman"/>
        </w:rPr>
      </w:pPr>
    </w:p>
    <w:p w14:paraId="0C03631E" w14:textId="77777777" w:rsidR="006745E0" w:rsidRPr="00945511" w:rsidRDefault="006745E0" w:rsidP="00E225DB">
      <w:pPr>
        <w:rPr>
          <w:rFonts w:ascii="Times New Roman" w:hAnsi="Times New Roman" w:cs="Times New Roman"/>
        </w:rPr>
      </w:pPr>
    </w:p>
    <w:p w14:paraId="28499753" w14:textId="740F26B0" w:rsidR="005520D0" w:rsidRPr="00945511" w:rsidRDefault="005520D0" w:rsidP="006745E0">
      <w:pPr>
        <w:pStyle w:val="Heading2"/>
      </w:pPr>
      <w:r w:rsidRPr="00945511">
        <w:t>Academic Misconduct</w:t>
      </w:r>
    </w:p>
    <w:p w14:paraId="3279C432" w14:textId="4D323825" w:rsidR="006745E0" w:rsidRDefault="005520D0" w:rsidP="000344D0">
      <w:pPr>
        <w:rPr>
          <w:rFonts w:ascii="Times New Roman" w:hAnsi="Times New Roman" w:cs="Times New Roman"/>
          <w:b/>
          <w:bCs/>
          <w:color w:val="000000"/>
          <w:sz w:val="28"/>
        </w:rPr>
      </w:pPr>
      <w:r w:rsidRPr="00945511">
        <w:rPr>
          <w:rFonts w:ascii="Times New Roman" w:hAnsi="Times New Roman" w:cs="Times New Roman"/>
        </w:rPr>
        <w:t>Students are reminded that academic misconduct is a violation of the Code of Student Conduct and, per faculty rule 3335-31-02, must be reported to the Committee on Academic Misconduct. Do not ask anyone for help and do not give anyone help with assignments, lab reports and/or exams, unless the instructor specifically authorized such collaboration. If you have questions about what is permitted, ask the instructor.</w:t>
      </w:r>
      <w:r w:rsidR="006745E0">
        <w:br w:type="page"/>
      </w:r>
    </w:p>
    <w:p w14:paraId="0E6884CB" w14:textId="50B10781" w:rsidR="005520D0" w:rsidRPr="00945511" w:rsidRDefault="005520D0" w:rsidP="005E0A8B">
      <w:pPr>
        <w:pStyle w:val="Heading2"/>
      </w:pPr>
      <w:r w:rsidRPr="00945511">
        <w:lastRenderedPageBreak/>
        <w:t>Disability Accommodations</w:t>
      </w:r>
    </w:p>
    <w:p w14:paraId="11CD0F70" w14:textId="4E022714" w:rsidR="00766CAF" w:rsidRDefault="000344D0" w:rsidP="0076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66CAF" w:rsidRPr="00766CAF">
        <w:rPr>
          <w:rFonts w:ascii="Times New Roman" w:hAnsi="Times New Roman" w:cs="Times New Roman"/>
        </w:rPr>
        <w:t>tudents with disabilities (including mental health, chronic or</w:t>
      </w:r>
      <w:r w:rsidR="00766CAF">
        <w:rPr>
          <w:rFonts w:ascii="Times New Roman" w:hAnsi="Times New Roman" w:cs="Times New Roman"/>
        </w:rPr>
        <w:t xml:space="preserve"> </w:t>
      </w:r>
      <w:r w:rsidR="00766CAF" w:rsidRPr="00766CAF">
        <w:rPr>
          <w:rFonts w:ascii="Times New Roman" w:hAnsi="Times New Roman" w:cs="Times New Roman"/>
        </w:rPr>
        <w:t>temporary medical conditions) that have been certified by the Office</w:t>
      </w:r>
      <w:r w:rsidR="00766CAF">
        <w:rPr>
          <w:rFonts w:ascii="Times New Roman" w:hAnsi="Times New Roman" w:cs="Times New Roman"/>
        </w:rPr>
        <w:t xml:space="preserve"> </w:t>
      </w:r>
      <w:r w:rsidR="00766CAF" w:rsidRPr="00766CAF">
        <w:rPr>
          <w:rFonts w:ascii="Times New Roman" w:hAnsi="Times New Roman" w:cs="Times New Roman"/>
        </w:rPr>
        <w:t>of Student Life Disability Services will be appropriately</w:t>
      </w:r>
      <w:r w:rsidR="00766CAF">
        <w:rPr>
          <w:rFonts w:ascii="Times New Roman" w:hAnsi="Times New Roman" w:cs="Times New Roman"/>
        </w:rPr>
        <w:t xml:space="preserve"> </w:t>
      </w:r>
      <w:r w:rsidR="00766CAF" w:rsidRPr="00766CAF">
        <w:rPr>
          <w:rFonts w:ascii="Times New Roman" w:hAnsi="Times New Roman" w:cs="Times New Roman"/>
        </w:rPr>
        <w:t>accommodated</w:t>
      </w:r>
      <w:r>
        <w:rPr>
          <w:rFonts w:ascii="Times New Roman" w:hAnsi="Times New Roman" w:cs="Times New Roman"/>
        </w:rPr>
        <w:t>. The </w:t>
      </w:r>
      <w:r w:rsidR="00766CAF" w:rsidRPr="00766CAF">
        <w:rPr>
          <w:rFonts w:ascii="Times New Roman" w:hAnsi="Times New Roman" w:cs="Times New Roman"/>
        </w:rPr>
        <w:t xml:space="preserve">Office of Student Life Disability Services </w:t>
      </w:r>
      <w:r>
        <w:rPr>
          <w:rFonts w:ascii="Times New Roman" w:hAnsi="Times New Roman" w:cs="Times New Roman"/>
        </w:rPr>
        <w:t>(</w:t>
      </w:r>
      <w:hyperlink r:id="rId9" w:history="1">
        <w:r w:rsidRPr="009475F4">
          <w:rPr>
            <w:rStyle w:val="Hyperlink"/>
            <w:rFonts w:ascii="Times New Roman" w:hAnsi="Times New Roman" w:cs="Times New Roman"/>
          </w:rPr>
          <w:t>www.slds.osu.edu</w:t>
        </w:r>
      </w:hyperlink>
      <w:r>
        <w:rPr>
          <w:rFonts w:ascii="Times New Roman" w:hAnsi="Times New Roman" w:cs="Times New Roman"/>
        </w:rPr>
        <w:t xml:space="preserve">) </w:t>
      </w:r>
      <w:r w:rsidR="00766CAF" w:rsidRPr="00766CAF">
        <w:rPr>
          <w:rFonts w:ascii="Times New Roman" w:hAnsi="Times New Roman" w:cs="Times New Roman"/>
        </w:rPr>
        <w:t>is</w:t>
      </w:r>
      <w:r w:rsidR="00766CAF">
        <w:rPr>
          <w:rFonts w:ascii="Times New Roman" w:hAnsi="Times New Roman" w:cs="Times New Roman"/>
        </w:rPr>
        <w:t xml:space="preserve"> </w:t>
      </w:r>
      <w:r w:rsidR="00766CAF" w:rsidRPr="00766CAF">
        <w:rPr>
          <w:rFonts w:ascii="Times New Roman" w:hAnsi="Times New Roman" w:cs="Times New Roman"/>
        </w:rPr>
        <w:t>located in 098 Baker Hall, 113 W. 12th Avenue; telephone 614- 292-3307,</w:t>
      </w:r>
      <w:r>
        <w:rPr>
          <w:rFonts w:ascii="Times New Roman" w:hAnsi="Times New Roman" w:cs="Times New Roman"/>
        </w:rPr>
        <w:t xml:space="preserve"> email:</w:t>
      </w:r>
      <w:r w:rsidR="00766CAF" w:rsidRPr="00766CAF">
        <w:rPr>
          <w:rFonts w:ascii="Times New Roman" w:hAnsi="Times New Roman" w:cs="Times New Roman"/>
        </w:rPr>
        <w:t xml:space="preserve"> </w:t>
      </w:r>
      <w:hyperlink r:id="rId10" w:history="1">
        <w:r w:rsidRPr="009475F4">
          <w:rPr>
            <w:rStyle w:val="Hyperlink"/>
            <w:rFonts w:ascii="Times New Roman" w:hAnsi="Times New Roman" w:cs="Times New Roman"/>
          </w:rPr>
          <w:t>slds@osu.edu</w:t>
        </w:r>
      </w:hyperlink>
      <w:r w:rsidR="00766CAF" w:rsidRPr="00766C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66CAF" w:rsidRPr="00766CAF">
        <w:rPr>
          <w:rFonts w:ascii="Times New Roman" w:hAnsi="Times New Roman" w:cs="Times New Roman"/>
        </w:rPr>
        <w:t xml:space="preserve"> </w:t>
      </w:r>
    </w:p>
    <w:p w14:paraId="0A83433C" w14:textId="77777777" w:rsidR="00766CAF" w:rsidRDefault="00766CAF" w:rsidP="00766CAF">
      <w:pPr>
        <w:rPr>
          <w:rFonts w:ascii="Times New Roman" w:hAnsi="Times New Roman" w:cs="Times New Roman"/>
        </w:rPr>
      </w:pPr>
    </w:p>
    <w:p w14:paraId="63E26CE7" w14:textId="2A690B81" w:rsidR="006745E0" w:rsidRPr="00945511" w:rsidRDefault="00766CAF" w:rsidP="00777F7F">
      <w:pPr>
        <w:rPr>
          <w:rFonts w:ascii="Times New Roman" w:hAnsi="Times New Roman" w:cs="Times New Roman"/>
        </w:rPr>
      </w:pPr>
      <w:r w:rsidRPr="00945511">
        <w:rPr>
          <w:rFonts w:ascii="Times New Roman" w:hAnsi="Times New Roman" w:cs="Times New Roman"/>
        </w:rPr>
        <w:t xml:space="preserve">Any student who feels s/he may need </w:t>
      </w:r>
      <w:r>
        <w:rPr>
          <w:rFonts w:ascii="Times New Roman" w:hAnsi="Times New Roman" w:cs="Times New Roman"/>
        </w:rPr>
        <w:t>additional</w:t>
      </w:r>
      <w:r w:rsidRPr="00945511">
        <w:rPr>
          <w:rFonts w:ascii="Times New Roman" w:hAnsi="Times New Roman" w:cs="Times New Roman"/>
        </w:rPr>
        <w:t xml:space="preserve"> accommodation</w:t>
      </w:r>
      <w:r>
        <w:rPr>
          <w:rFonts w:ascii="Times New Roman" w:hAnsi="Times New Roman" w:cs="Times New Roman"/>
        </w:rPr>
        <w:t>s</w:t>
      </w:r>
      <w:r w:rsidRPr="00945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(e.g., during lectures) </w:t>
      </w:r>
      <w:r w:rsidRPr="00945511">
        <w:rPr>
          <w:rFonts w:ascii="Times New Roman" w:hAnsi="Times New Roman" w:cs="Times New Roman"/>
        </w:rPr>
        <w:t xml:space="preserve">based on the impact of a disability should speak to the instructor privately to discuss specific needs. </w:t>
      </w:r>
      <w:r w:rsidR="000344D0">
        <w:rPr>
          <w:rFonts w:ascii="Times New Roman" w:hAnsi="Times New Roman" w:cs="Times New Roman"/>
        </w:rPr>
        <w:t xml:space="preserve">Students </w:t>
      </w:r>
      <w:r w:rsidR="000344D0" w:rsidRPr="00766CAF">
        <w:rPr>
          <w:rFonts w:ascii="Times New Roman" w:hAnsi="Times New Roman" w:cs="Times New Roman"/>
        </w:rPr>
        <w:t>should inform the instructor as soon as possible</w:t>
      </w:r>
      <w:r w:rsidR="000344D0">
        <w:rPr>
          <w:rFonts w:ascii="Times New Roman" w:hAnsi="Times New Roman" w:cs="Times New Roman"/>
        </w:rPr>
        <w:t xml:space="preserve"> </w:t>
      </w:r>
      <w:r w:rsidR="000344D0" w:rsidRPr="00766CAF">
        <w:rPr>
          <w:rFonts w:ascii="Times New Roman" w:hAnsi="Times New Roman" w:cs="Times New Roman"/>
        </w:rPr>
        <w:t xml:space="preserve">of </w:t>
      </w:r>
      <w:r w:rsidR="000344D0">
        <w:rPr>
          <w:rFonts w:ascii="Times New Roman" w:hAnsi="Times New Roman" w:cs="Times New Roman"/>
        </w:rPr>
        <w:t>their needs.</w:t>
      </w:r>
    </w:p>
    <w:p w14:paraId="1CE8E31A" w14:textId="77777777" w:rsidR="001E5B99" w:rsidRPr="00945511" w:rsidRDefault="001E5B99" w:rsidP="005E0A8B">
      <w:pPr>
        <w:pStyle w:val="Heading2"/>
      </w:pPr>
    </w:p>
    <w:p w14:paraId="42825184" w14:textId="4E48224C" w:rsidR="00065BCE" w:rsidRPr="00945511" w:rsidRDefault="00065BCE" w:rsidP="00065BCE">
      <w:pPr>
        <w:pStyle w:val="Heading2"/>
        <w:ind w:left="0" w:firstLine="0"/>
      </w:pPr>
      <w:r w:rsidRPr="00945511">
        <w:rPr>
          <w:noProof/>
        </w:rPr>
        <w:drawing>
          <wp:anchor distT="0" distB="0" distL="114300" distR="114300" simplePos="0" relativeHeight="251659264" behindDoc="1" locked="0" layoutInCell="1" allowOverlap="1" wp14:anchorId="0A95632A" wp14:editId="50253DF6">
            <wp:simplePos x="0" y="0"/>
            <wp:positionH relativeFrom="column">
              <wp:posOffset>3629660</wp:posOffset>
            </wp:positionH>
            <wp:positionV relativeFrom="paragraph">
              <wp:posOffset>10795</wp:posOffset>
            </wp:positionV>
            <wp:extent cx="1243965" cy="1786255"/>
            <wp:effectExtent l="0" t="0" r="0" b="4445"/>
            <wp:wrapNone/>
            <wp:docPr id="1" name="Picture 1" descr="C:\Users\zamanian.2\Desktop\Grade 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anian.2\Desktop\Grade tabl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5511">
        <w:t>Grading</w:t>
      </w:r>
      <w:r w:rsidR="00D03289">
        <w:t xml:space="preserve"> (A – E assessment</w:t>
      </w:r>
      <w:bookmarkStart w:id="0" w:name="_GoBack"/>
      <w:bookmarkEnd w:id="0"/>
      <w:r w:rsidR="00D03289">
        <w:t>)</w:t>
      </w:r>
      <w:r w:rsidRPr="00945511">
        <w:t>:</w:t>
      </w:r>
      <w:r w:rsidRPr="00945511">
        <w:tab/>
      </w:r>
    </w:p>
    <w:p w14:paraId="618A30CB" w14:textId="4FD9AA53" w:rsidR="00065BCE" w:rsidRDefault="000344D0" w:rsidP="00065BC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presentations</w:t>
      </w:r>
      <w:r>
        <w:rPr>
          <w:rFonts w:ascii="Times New Roman" w:hAnsi="Times New Roman" w:cs="Times New Roman"/>
        </w:rPr>
        <w:tab/>
        <w:t>50%</w:t>
      </w:r>
    </w:p>
    <w:p w14:paraId="2EA4332C" w14:textId="5A61FC05" w:rsidR="000344D0" w:rsidRPr="00945511" w:rsidRDefault="000344D0" w:rsidP="00065BC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participation</w:t>
      </w:r>
      <w:r>
        <w:rPr>
          <w:rFonts w:ascii="Times New Roman" w:hAnsi="Times New Roman" w:cs="Times New Roman"/>
        </w:rPr>
        <w:tab/>
        <w:t>15%</w:t>
      </w:r>
    </w:p>
    <w:p w14:paraId="0D7ED4AF" w14:textId="77777777" w:rsidR="00065BCE" w:rsidRPr="00945511" w:rsidRDefault="00065BCE" w:rsidP="00065BCE">
      <w:pPr>
        <w:pStyle w:val="ListParagraph"/>
        <w:rPr>
          <w:rFonts w:ascii="Times New Roman" w:hAnsi="Times New Roman" w:cs="Times New Roman"/>
        </w:rPr>
      </w:pPr>
      <w:r w:rsidRPr="00945511">
        <w:rPr>
          <w:rFonts w:ascii="Times New Roman" w:hAnsi="Times New Roman" w:cs="Times New Roman"/>
        </w:rPr>
        <w:t>Final exam</w:t>
      </w:r>
      <w:r w:rsidRPr="00945511">
        <w:rPr>
          <w:rFonts w:ascii="Times New Roman" w:hAnsi="Times New Roman" w:cs="Times New Roman"/>
        </w:rPr>
        <w:tab/>
      </w:r>
      <w:r w:rsidRPr="00945511">
        <w:rPr>
          <w:rFonts w:ascii="Times New Roman" w:hAnsi="Times New Roman" w:cs="Times New Roman"/>
        </w:rPr>
        <w:tab/>
        <w:t>25%</w:t>
      </w:r>
    </w:p>
    <w:p w14:paraId="55B1F77E" w14:textId="52618694" w:rsidR="00065BCE" w:rsidRPr="00945511" w:rsidRDefault="000344D0" w:rsidP="00065BC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Hat</w:t>
      </w:r>
      <w:r w:rsidR="00065BCE" w:rsidRPr="00945511">
        <w:rPr>
          <w:rFonts w:ascii="Times New Roman" w:hAnsi="Times New Roman" w:cs="Times New Roman"/>
        </w:rPr>
        <w:t xml:space="preserve"> quizzes</w:t>
      </w:r>
      <w:r w:rsidR="00065BCE" w:rsidRPr="009455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</w:t>
      </w:r>
      <w:r w:rsidR="00065BCE" w:rsidRPr="00945511">
        <w:rPr>
          <w:rFonts w:ascii="Times New Roman" w:hAnsi="Times New Roman" w:cs="Times New Roman"/>
        </w:rPr>
        <w:t>%</w:t>
      </w:r>
    </w:p>
    <w:p w14:paraId="27708646" w14:textId="77777777" w:rsidR="00065BCE" w:rsidRPr="00945511" w:rsidRDefault="00065BCE" w:rsidP="00065BCE">
      <w:pPr>
        <w:rPr>
          <w:rFonts w:ascii="Times New Roman" w:hAnsi="Times New Roman" w:cs="Times New Roman"/>
        </w:rPr>
      </w:pPr>
    </w:p>
    <w:p w14:paraId="22DBFBAE" w14:textId="77777777" w:rsidR="00065BCE" w:rsidRDefault="00065BCE" w:rsidP="00065BCE">
      <w:pPr>
        <w:rPr>
          <w:rFonts w:ascii="Times New Roman" w:hAnsi="Times New Roman" w:cs="Times New Roman"/>
        </w:rPr>
      </w:pPr>
      <w:r w:rsidRPr="00945511">
        <w:rPr>
          <w:rFonts w:ascii="Times New Roman" w:hAnsi="Times New Roman" w:cs="Times New Roman"/>
        </w:rPr>
        <w:t>Boundaries betwee</w:t>
      </w:r>
      <w:r>
        <w:rPr>
          <w:rFonts w:ascii="Times New Roman" w:hAnsi="Times New Roman" w:cs="Times New Roman"/>
        </w:rPr>
        <w:t>n grades are firm (no rounding)</w:t>
      </w:r>
    </w:p>
    <w:p w14:paraId="1A33A9A8" w14:textId="77777777" w:rsidR="006745E0" w:rsidRDefault="006745E0">
      <w:pPr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64DBD16D" w14:textId="19D3EBEB" w:rsidR="00FE7E81" w:rsidRPr="006745E0" w:rsidRDefault="00FE7E81" w:rsidP="006745E0">
      <w:pPr>
        <w:pStyle w:val="Heading2"/>
      </w:pPr>
      <w:r w:rsidRPr="00945511">
        <w:t>Tentative schedule: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7830"/>
      </w:tblGrid>
      <w:tr w:rsidR="00870768" w:rsidRPr="00945511" w14:paraId="53AE97FE" w14:textId="77777777" w:rsidTr="00870768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275571" w14:textId="668D10A0" w:rsidR="00870768" w:rsidRPr="000344D0" w:rsidRDefault="00870768" w:rsidP="000344D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344D0">
              <w:rPr>
                <w:b/>
                <w:sz w:val="28"/>
                <w:szCs w:val="28"/>
              </w:rPr>
              <w:t>Week</w:t>
            </w:r>
          </w:p>
          <w:p w14:paraId="66058A45" w14:textId="77777777" w:rsidR="00870768" w:rsidRPr="000344D0" w:rsidRDefault="00870768" w:rsidP="000344D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344D0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237791" w14:textId="77777777" w:rsidR="00870768" w:rsidRPr="000344D0" w:rsidRDefault="00870768" w:rsidP="000344D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344D0">
              <w:rPr>
                <w:b/>
                <w:sz w:val="28"/>
                <w:szCs w:val="28"/>
              </w:rPr>
              <w:t>Title</w:t>
            </w:r>
          </w:p>
        </w:tc>
      </w:tr>
      <w:tr w:rsidR="00870768" w:rsidRPr="00945511" w14:paraId="4AF16737" w14:textId="77777777" w:rsidTr="00870768">
        <w:trPr>
          <w:trHeight w:val="864"/>
        </w:trPr>
        <w:tc>
          <w:tcPr>
            <w:tcW w:w="15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9CC74" w14:textId="0B7A7C59" w:rsidR="00870768" w:rsidRPr="00945511" w:rsidRDefault="00870768" w:rsidP="00065BCE">
            <w:pPr>
              <w:pStyle w:val="NoSpacing"/>
              <w:jc w:val="center"/>
            </w:pPr>
            <w:r w:rsidRPr="00945511">
              <w:t>1</w:t>
            </w:r>
          </w:p>
        </w:tc>
        <w:tc>
          <w:tcPr>
            <w:tcW w:w="7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59B0" w14:textId="744C46DF" w:rsidR="00870768" w:rsidRPr="00945511" w:rsidRDefault="00870768" w:rsidP="00870768">
            <w:pPr>
              <w:pStyle w:val="NoSpacing"/>
            </w:pPr>
            <w:r>
              <w:t>Introduction and organization of the course, d</w:t>
            </w:r>
            <w:r w:rsidRPr="00945511">
              <w:t>iscussion of Syllabus</w:t>
            </w:r>
            <w:r>
              <w:t xml:space="preserve"> and student deliverables. Group assignments</w:t>
            </w:r>
          </w:p>
        </w:tc>
      </w:tr>
      <w:tr w:rsidR="00870768" w:rsidRPr="00945511" w14:paraId="5D028252" w14:textId="77777777" w:rsidTr="00870768">
        <w:trPr>
          <w:trHeight w:val="28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F48A2" w14:textId="07C43A41" w:rsidR="00870768" w:rsidRPr="00945511" w:rsidRDefault="00870768" w:rsidP="00065BCE">
            <w:pPr>
              <w:pStyle w:val="NoSpacing"/>
              <w:jc w:val="center"/>
            </w:pPr>
            <w:r w:rsidRPr="00945511">
              <w:t>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A554" w14:textId="4E27B65B" w:rsidR="00870768" w:rsidRPr="00945511" w:rsidRDefault="00C26E68" w:rsidP="000B299C">
            <w:pPr>
              <w:pStyle w:val="NoSpacing"/>
            </w:pPr>
            <w:r>
              <w:t xml:space="preserve">Instructor presentation on the causes and effects of the </w:t>
            </w:r>
            <w:r w:rsidRPr="00C26E68">
              <w:t>1928 St Francis Dam Failure (California)</w:t>
            </w:r>
            <w:r>
              <w:t>. Assignment of specific topics for student presentations</w:t>
            </w:r>
          </w:p>
        </w:tc>
      </w:tr>
      <w:tr w:rsidR="00C26E68" w:rsidRPr="00945511" w14:paraId="4D0FE18D" w14:textId="77777777" w:rsidTr="00C26E68">
        <w:trPr>
          <w:trHeight w:val="5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E78E7" w14:textId="512A398C" w:rsidR="00C26E68" w:rsidRPr="00945511" w:rsidRDefault="00C26E68" w:rsidP="00065BCE">
            <w:pPr>
              <w:pStyle w:val="NoSpacing"/>
              <w:jc w:val="center"/>
            </w:pPr>
            <w:r w:rsidRPr="00945511"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7D7D" w14:textId="53C784EA" w:rsidR="00C26E68" w:rsidRPr="00945511" w:rsidRDefault="00C26E68" w:rsidP="00C26E68">
            <w:pPr>
              <w:pStyle w:val="NoSpacing"/>
            </w:pPr>
            <w:r>
              <w:t xml:space="preserve">Dam </w:t>
            </w:r>
            <w:r w:rsidR="00065BCE">
              <w:t>failures and flooding</w:t>
            </w:r>
            <w:r>
              <w:t xml:space="preserve">: Student presentations </w:t>
            </w:r>
          </w:p>
        </w:tc>
      </w:tr>
      <w:tr w:rsidR="00C26E68" w:rsidRPr="00945511" w14:paraId="19E01FEA" w14:textId="77777777" w:rsidTr="00870768">
        <w:trPr>
          <w:trHeight w:val="28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D9A18" w14:textId="4E2DD27F" w:rsidR="00C26E68" w:rsidRPr="00945511" w:rsidRDefault="00C26E68" w:rsidP="00065BCE">
            <w:pPr>
              <w:pStyle w:val="NoSpacing"/>
              <w:jc w:val="center"/>
            </w:pPr>
            <w:r w:rsidRPr="00945511">
              <w:t>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2C3B" w14:textId="77777777" w:rsidR="00C26E68" w:rsidRDefault="00C26E68" w:rsidP="00C26E68">
            <w:pPr>
              <w:pStyle w:val="NoSpacing"/>
            </w:pPr>
            <w:r>
              <w:t xml:space="preserve">Instructor presentation on the effects of Hurricane Katrina in New Orleans </w:t>
            </w:r>
          </w:p>
          <w:p w14:paraId="117D9595" w14:textId="301BBD75" w:rsidR="00C26E68" w:rsidRPr="00945511" w:rsidRDefault="00C26E68" w:rsidP="00C26E68">
            <w:pPr>
              <w:pStyle w:val="NoSpacing"/>
            </w:pPr>
            <w:r>
              <w:t>Assignment of specific topics for student presentations</w:t>
            </w:r>
          </w:p>
        </w:tc>
      </w:tr>
      <w:tr w:rsidR="00C26E68" w:rsidRPr="00945511" w14:paraId="2EB4E426" w14:textId="77777777" w:rsidTr="00C26E68">
        <w:trPr>
          <w:trHeight w:val="5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F19" w14:textId="7B6E11A7" w:rsidR="00C26E68" w:rsidRPr="00945511" w:rsidRDefault="00C26E68" w:rsidP="00065BCE">
            <w:pPr>
              <w:pStyle w:val="NoSpacing"/>
              <w:jc w:val="center"/>
            </w:pPr>
            <w:r w:rsidRPr="00945511">
              <w:t>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78E7" w14:textId="33400C2B" w:rsidR="00C26E68" w:rsidRPr="00945511" w:rsidRDefault="00C26E68" w:rsidP="00C26E68">
            <w:pPr>
              <w:pStyle w:val="NoSpacing"/>
            </w:pPr>
            <w:r>
              <w:t xml:space="preserve">Katrina: Student presentations </w:t>
            </w:r>
          </w:p>
        </w:tc>
      </w:tr>
      <w:tr w:rsidR="00C26E68" w:rsidRPr="00945511" w14:paraId="580E49C3" w14:textId="77777777" w:rsidTr="00432602">
        <w:trPr>
          <w:trHeight w:val="4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4F9C9" w14:textId="225BE894" w:rsidR="00C26E68" w:rsidRPr="00945511" w:rsidRDefault="00C26E68" w:rsidP="00065BCE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F9F38" w14:textId="77777777" w:rsidR="00C26E68" w:rsidRDefault="00C26E68" w:rsidP="00C26E68">
            <w:pPr>
              <w:pStyle w:val="NoSpacing"/>
            </w:pPr>
            <w:r>
              <w:t xml:space="preserve">Instructor presentation on the landslide at La </w:t>
            </w:r>
            <w:proofErr w:type="spellStart"/>
            <w:r>
              <w:t>Conchita</w:t>
            </w:r>
            <w:proofErr w:type="spellEnd"/>
            <w:r>
              <w:t xml:space="preserve"> in California</w:t>
            </w:r>
          </w:p>
          <w:p w14:paraId="07BF7C40" w14:textId="472BF9C4" w:rsidR="00C26E68" w:rsidRDefault="00C26E68" w:rsidP="00C26E68">
            <w:pPr>
              <w:pStyle w:val="NoSpacing"/>
            </w:pPr>
            <w:r>
              <w:t>Assignment of specific topics for student presentations regarding landslides and mudflows (e.g., 2014 Oso Landslide in Washington)</w:t>
            </w:r>
          </w:p>
        </w:tc>
      </w:tr>
      <w:tr w:rsidR="00C26E68" w:rsidRPr="00945511" w14:paraId="64ADB731" w14:textId="77777777" w:rsidTr="00C26E68">
        <w:trPr>
          <w:trHeight w:val="4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8A2" w14:textId="5DD45F54" w:rsidR="00C26E68" w:rsidRPr="00945511" w:rsidRDefault="00C26E68" w:rsidP="00065BCE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48B2" w14:textId="7D19A68C" w:rsidR="00C26E68" w:rsidRDefault="00C26E68" w:rsidP="00C26E68">
            <w:pPr>
              <w:pStyle w:val="NoSpacing"/>
            </w:pPr>
            <w:r>
              <w:t>Landslides and mudflows: Student presentations</w:t>
            </w:r>
          </w:p>
        </w:tc>
      </w:tr>
      <w:tr w:rsidR="00C26E68" w:rsidRPr="00945511" w14:paraId="5A6B80A4" w14:textId="77777777" w:rsidTr="00C26E68">
        <w:trPr>
          <w:trHeight w:val="4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BF22" w14:textId="05FFCFB6" w:rsidR="00C26E68" w:rsidRPr="00945511" w:rsidRDefault="00C26E68" w:rsidP="00065BCE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5AE2" w14:textId="5C173A99" w:rsidR="00C26E68" w:rsidRDefault="00C26E68" w:rsidP="00C26E68">
            <w:pPr>
              <w:pStyle w:val="NoSpacing"/>
            </w:pPr>
            <w:r>
              <w:t>Instructor presentation on the effects of the 2011 Tohoku Earthquake and tsunami in Japan. Assignment of specific topics for student presentations</w:t>
            </w:r>
          </w:p>
        </w:tc>
      </w:tr>
      <w:tr w:rsidR="00C26E68" w:rsidRPr="00945511" w14:paraId="6C8330EC" w14:textId="77777777" w:rsidTr="00C26E68">
        <w:trPr>
          <w:trHeight w:val="4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3885" w14:textId="3CCCB67D" w:rsidR="00C26E68" w:rsidRPr="00945511" w:rsidRDefault="00C26E68" w:rsidP="00065BCE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D33" w14:textId="4C9FC968" w:rsidR="00C26E68" w:rsidRDefault="00C26E68" w:rsidP="00C26E68">
            <w:pPr>
              <w:pStyle w:val="NoSpacing"/>
            </w:pPr>
            <w:r>
              <w:t>Tsunami</w:t>
            </w:r>
            <w:r w:rsidR="00065BCE">
              <w:t>s</w:t>
            </w:r>
            <w:r>
              <w:t xml:space="preserve">: Student presentations </w:t>
            </w:r>
          </w:p>
        </w:tc>
      </w:tr>
      <w:tr w:rsidR="00C26E68" w:rsidRPr="00945511" w14:paraId="665CF5C8" w14:textId="77777777" w:rsidTr="00C26E68">
        <w:trPr>
          <w:trHeight w:val="4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5F55" w14:textId="42DAF2E5" w:rsidR="00C26E68" w:rsidRPr="00945511" w:rsidRDefault="00C26E68" w:rsidP="00065BCE">
            <w:pPr>
              <w:pStyle w:val="NoSpacing"/>
              <w:jc w:val="center"/>
            </w:pPr>
            <w:r>
              <w:lastRenderedPageBreak/>
              <w:t>10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F6CD" w14:textId="04EDA549" w:rsidR="00C26E68" w:rsidRDefault="00C26E68" w:rsidP="00C26E68">
            <w:pPr>
              <w:pStyle w:val="NoSpacing"/>
            </w:pPr>
            <w:r>
              <w:t xml:space="preserve">Instructor presentation on the effects of the 2015 </w:t>
            </w:r>
            <w:proofErr w:type="spellStart"/>
            <w:r>
              <w:t>Gorkha</w:t>
            </w:r>
            <w:proofErr w:type="spellEnd"/>
            <w:r>
              <w:t xml:space="preserve"> Earthquake in Nepal. Assignment of specific topics for student presentations</w:t>
            </w:r>
          </w:p>
        </w:tc>
      </w:tr>
      <w:tr w:rsidR="00C26E68" w:rsidRPr="00945511" w14:paraId="45B601B8" w14:textId="77777777" w:rsidTr="00C26E68">
        <w:trPr>
          <w:trHeight w:val="4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1FC0" w14:textId="34F4C911" w:rsidR="00C26E68" w:rsidRPr="00945511" w:rsidRDefault="00C26E68" w:rsidP="00065BCE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B64" w14:textId="2BEA8590" w:rsidR="00C26E68" w:rsidRDefault="00C26E68" w:rsidP="00C26E68">
            <w:pPr>
              <w:pStyle w:val="NoSpacing"/>
            </w:pPr>
            <w:r>
              <w:t xml:space="preserve">Earthquake effects in a developing country : Student presentations </w:t>
            </w:r>
          </w:p>
        </w:tc>
      </w:tr>
      <w:tr w:rsidR="00C26E68" w:rsidRPr="00945511" w14:paraId="7A60458F" w14:textId="77777777" w:rsidTr="00C26E68">
        <w:trPr>
          <w:trHeight w:val="4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3C46" w14:textId="06F5D0EB" w:rsidR="00C26E68" w:rsidRPr="00945511" w:rsidRDefault="00C26E68" w:rsidP="00065BCE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4510" w14:textId="5F12BDF1" w:rsidR="00C26E68" w:rsidRDefault="00C26E68" w:rsidP="00C26E68">
            <w:pPr>
              <w:pStyle w:val="NoSpacing"/>
            </w:pPr>
            <w:r>
              <w:t>Instructor presentation on the effects of Hurricanes Irma and Maria in Puerto Rico. Assignment of specific topics for student presentations</w:t>
            </w:r>
          </w:p>
        </w:tc>
      </w:tr>
      <w:tr w:rsidR="00C26E68" w:rsidRPr="00945511" w14:paraId="0AFB9C87" w14:textId="77777777" w:rsidTr="00C26E68">
        <w:trPr>
          <w:trHeight w:val="4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25E2" w14:textId="29B4497F" w:rsidR="00C26E68" w:rsidRPr="00945511" w:rsidRDefault="00C26E68" w:rsidP="00065BCE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25DF" w14:textId="6D0DB2EF" w:rsidR="00C26E68" w:rsidRDefault="00C26E68" w:rsidP="00C26E68">
            <w:pPr>
              <w:pStyle w:val="NoSpacing"/>
            </w:pPr>
            <w:r>
              <w:t xml:space="preserve">Puerto Rico’s recovery from Hurricane Maria: Student presentations </w:t>
            </w:r>
          </w:p>
        </w:tc>
      </w:tr>
      <w:tr w:rsidR="00C26E68" w:rsidRPr="00945511" w14:paraId="57500A29" w14:textId="77777777" w:rsidTr="00C26E68">
        <w:trPr>
          <w:trHeight w:val="48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CCFC" w14:textId="70EA8460" w:rsidR="00C26E68" w:rsidRPr="00945511" w:rsidRDefault="00C26E68" w:rsidP="00065BCE">
            <w:pPr>
              <w:pStyle w:val="NoSpacing"/>
              <w:jc w:val="center"/>
            </w:pPr>
            <w:r>
              <w:t>14</w:t>
            </w:r>
            <w:r w:rsidR="00065BCE">
              <w:t>/15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9F03" w14:textId="0CB96D6B" w:rsidR="00C26E68" w:rsidRDefault="00065BCE" w:rsidP="00065BCE">
            <w:pPr>
              <w:pStyle w:val="NoSpacing"/>
            </w:pPr>
            <w:r>
              <w:t>In-class discussion and conclusions (topics: vulnerability to extreme events, effects of global warming, lessons learned from case histories, preparedness, infrastructure r</w:t>
            </w:r>
            <w:r w:rsidRPr="0076690F">
              <w:t xml:space="preserve">obustness, </w:t>
            </w:r>
            <w:r>
              <w:t xml:space="preserve">and measures to enhance </w:t>
            </w:r>
            <w:r w:rsidRPr="0076690F">
              <w:t xml:space="preserve">flexibility </w:t>
            </w:r>
            <w:r>
              <w:t xml:space="preserve">and </w:t>
            </w:r>
            <w:r w:rsidRPr="0076690F">
              <w:t>resilience</w:t>
            </w:r>
          </w:p>
        </w:tc>
      </w:tr>
    </w:tbl>
    <w:p w14:paraId="43462CEB" w14:textId="34908EC0" w:rsidR="00FE7E81" w:rsidRPr="00945511" w:rsidRDefault="00FE7E81" w:rsidP="00777F7F">
      <w:pPr>
        <w:rPr>
          <w:rFonts w:ascii="Times New Roman" w:hAnsi="Times New Roman" w:cs="Times New Roman"/>
        </w:rPr>
      </w:pPr>
    </w:p>
    <w:p w14:paraId="1C202651" w14:textId="75447768" w:rsidR="00982E36" w:rsidRDefault="00982E36" w:rsidP="00065BCE">
      <w:pPr>
        <w:pStyle w:val="Heading2"/>
      </w:pPr>
    </w:p>
    <w:p w14:paraId="7DCD80E2" w14:textId="23EA281C" w:rsidR="00065BCE" w:rsidRPr="006745E0" w:rsidRDefault="00065BCE" w:rsidP="006745E0">
      <w:pPr>
        <w:pStyle w:val="Heading2"/>
      </w:pPr>
      <w:r>
        <w:t>Required</w:t>
      </w:r>
      <w:r w:rsidRPr="00945511">
        <w:t xml:space="preserve"> </w:t>
      </w:r>
      <w:r w:rsidRPr="005E0A8B">
        <w:t>Texts</w:t>
      </w:r>
      <w:r>
        <w:t xml:space="preserve"> </w:t>
      </w:r>
    </w:p>
    <w:p w14:paraId="4FD64F64" w14:textId="77777777" w:rsidR="00065BCE" w:rsidRDefault="00065BCE" w:rsidP="00065BCE">
      <w:pPr>
        <w:pStyle w:val="NoSpacing"/>
      </w:pPr>
      <w:r>
        <w:t>None</w:t>
      </w:r>
    </w:p>
    <w:p w14:paraId="6BB0A1BE" w14:textId="77777777" w:rsidR="00065BCE" w:rsidRDefault="00065BCE" w:rsidP="00065BCE">
      <w:pPr>
        <w:pStyle w:val="NoSpacing"/>
      </w:pPr>
    </w:p>
    <w:p w14:paraId="7239DDDF" w14:textId="59F65955" w:rsidR="00065BCE" w:rsidRPr="005E0A8B" w:rsidRDefault="00065BCE" w:rsidP="00065BCE">
      <w:pPr>
        <w:pStyle w:val="Heading2"/>
      </w:pPr>
      <w:r w:rsidRPr="005E0A8B">
        <w:t xml:space="preserve">Suggested </w:t>
      </w:r>
      <w:r w:rsidR="00195140">
        <w:t>Readings/</w:t>
      </w:r>
      <w:r w:rsidRPr="005E0A8B">
        <w:t>Resources</w:t>
      </w:r>
    </w:p>
    <w:p w14:paraId="3101AAED" w14:textId="77777777" w:rsidR="00065BCE" w:rsidRPr="000B299C" w:rsidRDefault="00065BCE" w:rsidP="00065BCE">
      <w:pPr>
        <w:pStyle w:val="NoSpacing"/>
        <w:rPr>
          <w:u w:val="single"/>
        </w:rPr>
      </w:pPr>
      <w:r w:rsidRPr="000B299C">
        <w:rPr>
          <w:u w:val="single"/>
        </w:rPr>
        <w:t xml:space="preserve">2015 </w:t>
      </w:r>
      <w:proofErr w:type="spellStart"/>
      <w:r w:rsidRPr="000B299C">
        <w:rPr>
          <w:u w:val="single"/>
        </w:rPr>
        <w:t>Gorkha</w:t>
      </w:r>
      <w:proofErr w:type="spellEnd"/>
      <w:r w:rsidRPr="000B299C">
        <w:rPr>
          <w:u w:val="single"/>
        </w:rPr>
        <w:t xml:space="preserve"> Earthquake (Nepal)</w:t>
      </w:r>
    </w:p>
    <w:p w14:paraId="280703C4" w14:textId="77777777" w:rsidR="00065BCE" w:rsidRDefault="00065BCE" w:rsidP="00065BCE">
      <w:pPr>
        <w:pStyle w:val="References"/>
      </w:pPr>
      <w:r w:rsidRPr="00B602D7">
        <w:t xml:space="preserve">Tiwari B., Pradel D., et al. </w:t>
      </w:r>
      <w:r w:rsidRPr="00010F7F">
        <w:t xml:space="preserve">(2018), “Landslide Movement at </w:t>
      </w:r>
      <w:proofErr w:type="spellStart"/>
      <w:r w:rsidRPr="00010F7F">
        <w:t>Lokanthali</w:t>
      </w:r>
      <w:proofErr w:type="spellEnd"/>
      <w:r w:rsidRPr="00010F7F">
        <w:t xml:space="preserve">, during the 2015 Earthquake in </w:t>
      </w:r>
      <w:proofErr w:type="spellStart"/>
      <w:r w:rsidRPr="00010F7F">
        <w:t>Gorkha</w:t>
      </w:r>
      <w:proofErr w:type="spellEnd"/>
      <w:r w:rsidRPr="00010F7F">
        <w:t xml:space="preserve">, Nepal ASCE Journal of Geotechnical and </w:t>
      </w:r>
      <w:proofErr w:type="spellStart"/>
      <w:r w:rsidRPr="00010F7F">
        <w:t>GeoEnvironmental</w:t>
      </w:r>
      <w:proofErr w:type="spellEnd"/>
      <w:r w:rsidRPr="00010F7F">
        <w:t xml:space="preserve"> Engineering, 10.1061/(ASCE)</w:t>
      </w:r>
      <w:r>
        <w:t xml:space="preserve"> </w:t>
      </w:r>
      <w:r w:rsidRPr="00010F7F">
        <w:t>GT.1943-5606.0001842</w:t>
      </w:r>
    </w:p>
    <w:p w14:paraId="30283C7D" w14:textId="77777777" w:rsidR="00065BCE" w:rsidRPr="000B299C" w:rsidRDefault="00065BCE" w:rsidP="00065BCE">
      <w:pPr>
        <w:pStyle w:val="References"/>
      </w:pPr>
      <w:r w:rsidRPr="006A34D1">
        <w:t>GEER/NSF report from</w:t>
      </w:r>
      <w:r>
        <w:t xml:space="preserve"> </w:t>
      </w:r>
      <w:hyperlink r:id="rId12" w:history="1">
        <w:r w:rsidRPr="003C20A5">
          <w:rPr>
            <w:rStyle w:val="Hyperlink"/>
          </w:rPr>
          <w:t>http://www.geerassociation.org/index.php/component/geer_reports/?view=geerreports&amp;layout=build&amp;id=26</w:t>
        </w:r>
      </w:hyperlink>
      <w:r>
        <w:t xml:space="preserve"> </w:t>
      </w:r>
    </w:p>
    <w:p w14:paraId="12A5496D" w14:textId="0CBB9339" w:rsidR="00065BCE" w:rsidRDefault="00065BCE" w:rsidP="00065BCE">
      <w:pPr>
        <w:pStyle w:val="NoSpacing"/>
        <w:rPr>
          <w:u w:val="single"/>
        </w:rPr>
      </w:pPr>
    </w:p>
    <w:p w14:paraId="130BBB97" w14:textId="77777777" w:rsidR="006745E0" w:rsidRPr="00B602D7" w:rsidRDefault="006745E0" w:rsidP="00065BCE">
      <w:pPr>
        <w:pStyle w:val="NoSpacing"/>
        <w:rPr>
          <w:u w:val="single"/>
        </w:rPr>
      </w:pPr>
    </w:p>
    <w:p w14:paraId="69FE8F0C" w14:textId="77777777" w:rsidR="00065BCE" w:rsidRPr="000B299C" w:rsidRDefault="00065BCE" w:rsidP="00065BCE">
      <w:pPr>
        <w:pStyle w:val="NoSpacing"/>
        <w:rPr>
          <w:u w:val="single"/>
        </w:rPr>
      </w:pPr>
      <w:r w:rsidRPr="000B299C">
        <w:rPr>
          <w:u w:val="single"/>
        </w:rPr>
        <w:t>2011 Tohoku earthquake and tsunami (Japan)</w:t>
      </w:r>
    </w:p>
    <w:p w14:paraId="65C29EE4" w14:textId="77777777" w:rsidR="00065BCE" w:rsidRDefault="00065BCE" w:rsidP="00065BCE">
      <w:pPr>
        <w:pStyle w:val="References"/>
      </w:pPr>
      <w:r w:rsidRPr="00F060C2">
        <w:t>Pradel D., Tiwari B., and Wartman J. (2011), “Landslides Triggered by 2011 Tohoku Pacific Earthquake: Preliminary Observations”, Geo‐</w:t>
      </w:r>
      <w:r w:rsidRPr="000B299C">
        <w:t>Strata</w:t>
      </w:r>
      <w:r w:rsidRPr="00F060C2">
        <w:t xml:space="preserve"> (ASCE’s Geo‐Institute) Sept</w:t>
      </w:r>
      <w:proofErr w:type="gramStart"/>
      <w:r w:rsidRPr="00F060C2">
        <w:t>./</w:t>
      </w:r>
      <w:proofErr w:type="gramEnd"/>
      <w:r w:rsidRPr="00F060C2">
        <w:t>Oct. 2011, 28‐32</w:t>
      </w:r>
      <w:r>
        <w:t xml:space="preserve"> </w:t>
      </w:r>
    </w:p>
    <w:p w14:paraId="7656815E" w14:textId="77777777" w:rsidR="00065BCE" w:rsidRDefault="00065BCE" w:rsidP="00065BCE">
      <w:pPr>
        <w:pStyle w:val="References"/>
      </w:pPr>
      <w:r w:rsidRPr="000B299C">
        <w:t>Pradel D., Wartman J., and Tiwari B. (2014)</w:t>
      </w:r>
      <w:proofErr w:type="gramStart"/>
      <w:r w:rsidRPr="000B299C">
        <w:t>,  “</w:t>
      </w:r>
      <w:proofErr w:type="gramEnd"/>
      <w:r w:rsidRPr="000B299C">
        <w:t xml:space="preserve">Impact of anthropogenic changes on liquefaction along the Tone River during the 2011 Tohoku Earthquake”, ASCE Natural Hazards Review. Vol.15, 13‐26.  </w:t>
      </w:r>
    </w:p>
    <w:p w14:paraId="6FADEC9B" w14:textId="77777777" w:rsidR="00065BCE" w:rsidRDefault="00065BCE" w:rsidP="00065BCE">
      <w:pPr>
        <w:pStyle w:val="References"/>
      </w:pPr>
      <w:r w:rsidRPr="001117CD">
        <w:rPr>
          <w:rFonts w:hint="eastAsia"/>
        </w:rPr>
        <w:t>Pradel D., Wartman J., and Tiwari B. (2013)</w:t>
      </w:r>
      <w:proofErr w:type="gramStart"/>
      <w:r w:rsidRPr="001117CD">
        <w:rPr>
          <w:rFonts w:hint="eastAsia"/>
        </w:rPr>
        <w:t>,  “</w:t>
      </w:r>
      <w:proofErr w:type="gramEnd"/>
      <w:r w:rsidRPr="001117CD">
        <w:rPr>
          <w:rFonts w:hint="eastAsia"/>
        </w:rPr>
        <w:t xml:space="preserve">Failure of the </w:t>
      </w:r>
      <w:proofErr w:type="spellStart"/>
      <w:r w:rsidRPr="001117CD">
        <w:rPr>
          <w:rFonts w:hint="eastAsia"/>
        </w:rPr>
        <w:t>Fujinuma</w:t>
      </w:r>
      <w:proofErr w:type="spellEnd"/>
      <w:r w:rsidRPr="001117CD">
        <w:rPr>
          <w:rFonts w:hint="eastAsia"/>
        </w:rPr>
        <w:t xml:space="preserve"> Dams during the 2011 Tohoku Earthquake”, ASCE Geo‐Congress 2013: Stability and Performance of Slopes and Embankments III, GSP 231, 1566‐1580.</w:t>
      </w:r>
    </w:p>
    <w:p w14:paraId="7E5AE114" w14:textId="77777777" w:rsidR="00065BCE" w:rsidRDefault="00065BCE" w:rsidP="00065BCE">
      <w:pPr>
        <w:pStyle w:val="References"/>
        <w:rPr>
          <w:u w:val="single"/>
        </w:rPr>
      </w:pPr>
    </w:p>
    <w:p w14:paraId="356B5BEE" w14:textId="77777777" w:rsidR="006745E0" w:rsidRDefault="006745E0">
      <w:pPr>
        <w:autoSpaceDE/>
        <w:autoSpaceDN/>
        <w:adjustRightInd/>
        <w:spacing w:after="200" w:line="276" w:lineRule="auto"/>
        <w:jc w:val="left"/>
        <w:rPr>
          <w:rFonts w:ascii="Times New Roman" w:eastAsia="Times New Roman" w:hAnsi="Times New Roman" w:cs="Times New Roman"/>
          <w:szCs w:val="20"/>
          <w:u w:val="single"/>
          <w:lang w:eastAsia="ko-KR"/>
        </w:rPr>
      </w:pPr>
      <w:r>
        <w:rPr>
          <w:u w:val="single"/>
        </w:rPr>
        <w:br w:type="page"/>
      </w:r>
    </w:p>
    <w:p w14:paraId="7F79B652" w14:textId="1560961C" w:rsidR="00065BCE" w:rsidRPr="000B299C" w:rsidRDefault="00065BCE" w:rsidP="00065BCE">
      <w:pPr>
        <w:pStyle w:val="References"/>
        <w:rPr>
          <w:u w:val="single"/>
        </w:rPr>
      </w:pPr>
      <w:r w:rsidRPr="000B299C">
        <w:rPr>
          <w:u w:val="single"/>
        </w:rPr>
        <w:lastRenderedPageBreak/>
        <w:t>2005 Hurricane Katrina (New Orleans only)</w:t>
      </w:r>
    </w:p>
    <w:p w14:paraId="7B5463F1" w14:textId="77777777" w:rsidR="00065BCE" w:rsidRDefault="00065BCE" w:rsidP="00065BCE">
      <w:pPr>
        <w:pStyle w:val="References"/>
      </w:pPr>
      <w:r>
        <w:t>FEMA (2006) “Hurricane Katrina in the Gulf Coast Mitigation Assessment Team Report Building Performance Observations, Recommendations, and Technical Guidance” FEMA 549 report</w:t>
      </w:r>
    </w:p>
    <w:p w14:paraId="6F8B1400" w14:textId="77777777" w:rsidR="00065BCE" w:rsidRDefault="00065BCE" w:rsidP="00065BCE">
      <w:pPr>
        <w:pStyle w:val="References"/>
      </w:pPr>
      <w:r>
        <w:t xml:space="preserve">NIST (2006) “Performance of Physical Structures in Hurricane Katrina and Hurricane Rita: A Reconnaissance Report” </w:t>
      </w:r>
      <w:r w:rsidRPr="001117CD">
        <w:t>NIST Technical Note 1476</w:t>
      </w:r>
    </w:p>
    <w:p w14:paraId="458B4327" w14:textId="494554A4" w:rsidR="00065BCE" w:rsidRDefault="00065BCE" w:rsidP="00065BCE">
      <w:pPr>
        <w:pStyle w:val="References"/>
        <w:rPr>
          <w:u w:val="single"/>
        </w:rPr>
      </w:pPr>
    </w:p>
    <w:p w14:paraId="03CCEC67" w14:textId="77777777" w:rsidR="006745E0" w:rsidRDefault="006745E0" w:rsidP="00065BCE">
      <w:pPr>
        <w:pStyle w:val="References"/>
        <w:rPr>
          <w:u w:val="single"/>
        </w:rPr>
      </w:pPr>
    </w:p>
    <w:p w14:paraId="0A9C1274" w14:textId="77777777" w:rsidR="00065BCE" w:rsidRPr="000B299C" w:rsidRDefault="00065BCE" w:rsidP="00065BCE">
      <w:pPr>
        <w:pStyle w:val="References"/>
        <w:rPr>
          <w:u w:val="single"/>
        </w:rPr>
      </w:pPr>
      <w:r w:rsidRPr="000B299C">
        <w:rPr>
          <w:u w:val="single"/>
        </w:rPr>
        <w:t xml:space="preserve">2005 </w:t>
      </w:r>
      <w:r>
        <w:rPr>
          <w:u w:val="single"/>
        </w:rPr>
        <w:t xml:space="preserve">La </w:t>
      </w:r>
      <w:proofErr w:type="spellStart"/>
      <w:r>
        <w:rPr>
          <w:u w:val="single"/>
        </w:rPr>
        <w:t>Conchita</w:t>
      </w:r>
      <w:proofErr w:type="spellEnd"/>
      <w:r>
        <w:rPr>
          <w:u w:val="single"/>
        </w:rPr>
        <w:t xml:space="preserve"> landslide</w:t>
      </w:r>
      <w:r w:rsidRPr="000B299C">
        <w:rPr>
          <w:u w:val="single"/>
        </w:rPr>
        <w:t xml:space="preserve"> (</w:t>
      </w:r>
      <w:r>
        <w:rPr>
          <w:u w:val="single"/>
        </w:rPr>
        <w:t>California</w:t>
      </w:r>
      <w:r w:rsidRPr="000B299C">
        <w:rPr>
          <w:u w:val="single"/>
        </w:rPr>
        <w:t>)</w:t>
      </w:r>
    </w:p>
    <w:p w14:paraId="207C931B" w14:textId="77777777" w:rsidR="00065BCE" w:rsidRPr="000B299C" w:rsidRDefault="00065BCE" w:rsidP="00065BCE">
      <w:pPr>
        <w:pStyle w:val="References"/>
      </w:pPr>
      <w:r w:rsidRPr="00F060C2">
        <w:t xml:space="preserve">Pradel D. (2014), “The Progressive Failure Reactivation of La </w:t>
      </w:r>
      <w:proofErr w:type="spellStart"/>
      <w:r w:rsidRPr="00F060C2">
        <w:t>Conchita</w:t>
      </w:r>
      <w:proofErr w:type="spellEnd"/>
      <w:r w:rsidRPr="00F060C2">
        <w:t xml:space="preserve"> Landslide in 2005”, ASCE Geo</w:t>
      </w:r>
      <w:r w:rsidRPr="00870768">
        <w:rPr>
          <w:color w:val="FF0000"/>
        </w:rPr>
        <w:t>‐ Congress 2014: Geo‐Characterization and Modeling for Sustainability, GSP 234, 3209‐3222.</w:t>
      </w:r>
    </w:p>
    <w:p w14:paraId="662437AA" w14:textId="4B29302A" w:rsidR="00065BCE" w:rsidRDefault="00065BCE" w:rsidP="00065BCE">
      <w:pPr>
        <w:pStyle w:val="NoSpacing"/>
      </w:pPr>
    </w:p>
    <w:p w14:paraId="06299ACC" w14:textId="77777777" w:rsidR="006745E0" w:rsidRDefault="006745E0" w:rsidP="00065BCE">
      <w:pPr>
        <w:pStyle w:val="NoSpacing"/>
      </w:pPr>
    </w:p>
    <w:p w14:paraId="16787231" w14:textId="77777777" w:rsidR="00065BCE" w:rsidRPr="000B299C" w:rsidRDefault="00065BCE" w:rsidP="00065BCE">
      <w:pPr>
        <w:pStyle w:val="NoSpacing"/>
        <w:rPr>
          <w:u w:val="single"/>
          <w:lang w:val="es-ES_tradnl"/>
        </w:rPr>
      </w:pPr>
      <w:r w:rsidRPr="000B299C">
        <w:rPr>
          <w:u w:val="single"/>
          <w:lang w:val="es-ES_tradnl"/>
        </w:rPr>
        <w:t xml:space="preserve">2017 </w:t>
      </w:r>
      <w:proofErr w:type="spellStart"/>
      <w:r w:rsidRPr="000B299C">
        <w:rPr>
          <w:u w:val="single"/>
          <w:lang w:val="es-ES_tradnl"/>
        </w:rPr>
        <w:t>Hurricane</w:t>
      </w:r>
      <w:proofErr w:type="spellEnd"/>
      <w:r w:rsidRPr="000B299C">
        <w:rPr>
          <w:u w:val="single"/>
          <w:lang w:val="es-ES_tradnl"/>
        </w:rPr>
        <w:t xml:space="preserve"> </w:t>
      </w:r>
      <w:r>
        <w:rPr>
          <w:u w:val="single"/>
          <w:lang w:val="es-ES_tradnl"/>
        </w:rPr>
        <w:t xml:space="preserve">Irma &amp; </w:t>
      </w:r>
      <w:r w:rsidRPr="000B299C">
        <w:rPr>
          <w:u w:val="single"/>
          <w:lang w:val="es-ES_tradnl"/>
        </w:rPr>
        <w:t>Maria (Puerto Rico</w:t>
      </w:r>
      <w:r>
        <w:rPr>
          <w:u w:val="single"/>
          <w:lang w:val="es-ES_tradnl"/>
        </w:rPr>
        <w:t xml:space="preserve"> </w:t>
      </w:r>
      <w:proofErr w:type="spellStart"/>
      <w:r>
        <w:rPr>
          <w:u w:val="single"/>
          <w:lang w:val="es-ES_tradnl"/>
        </w:rPr>
        <w:t>only</w:t>
      </w:r>
      <w:proofErr w:type="spellEnd"/>
      <w:r w:rsidRPr="000B299C">
        <w:rPr>
          <w:u w:val="single"/>
          <w:lang w:val="es-ES_tradnl"/>
        </w:rPr>
        <w:t>)</w:t>
      </w:r>
    </w:p>
    <w:p w14:paraId="25C177D3" w14:textId="655851ED" w:rsidR="00065BCE" w:rsidRPr="006A34D1" w:rsidRDefault="00065BCE" w:rsidP="00065BCE">
      <w:pPr>
        <w:pStyle w:val="References"/>
      </w:pPr>
      <w:r w:rsidRPr="006A34D1">
        <w:t xml:space="preserve">GEER/NSF report from </w:t>
      </w:r>
      <w:hyperlink r:id="rId13" w:history="1">
        <w:r w:rsidRPr="003C20A5">
          <w:rPr>
            <w:rStyle w:val="Hyperlink"/>
          </w:rPr>
          <w:t>http://www.geerassociation.org</w:t>
        </w:r>
      </w:hyperlink>
      <w:r>
        <w:t xml:space="preserve"> (scheduled for publication in </w:t>
      </w:r>
      <w:r w:rsidR="00195140">
        <w:t>May</w:t>
      </w:r>
      <w:r>
        <w:t>, 2018)</w:t>
      </w:r>
    </w:p>
    <w:p w14:paraId="0A1EB212" w14:textId="7F88D666" w:rsidR="00065BCE" w:rsidRDefault="00065BCE" w:rsidP="00065BCE">
      <w:pPr>
        <w:pStyle w:val="NoSpacing"/>
        <w:rPr>
          <w:u w:val="single"/>
        </w:rPr>
      </w:pPr>
    </w:p>
    <w:p w14:paraId="3F96156B" w14:textId="77777777" w:rsidR="006745E0" w:rsidRDefault="006745E0" w:rsidP="00065BCE">
      <w:pPr>
        <w:pStyle w:val="NoSpacing"/>
        <w:rPr>
          <w:u w:val="single"/>
        </w:rPr>
      </w:pPr>
    </w:p>
    <w:p w14:paraId="56A21CE7" w14:textId="77777777" w:rsidR="00065BCE" w:rsidRPr="000B299C" w:rsidRDefault="00065BCE" w:rsidP="00065BCE">
      <w:pPr>
        <w:pStyle w:val="NoSpacing"/>
        <w:rPr>
          <w:u w:val="single"/>
        </w:rPr>
      </w:pPr>
      <w:r w:rsidRPr="000B299C">
        <w:rPr>
          <w:u w:val="single"/>
        </w:rPr>
        <w:t>1928 St Francis Dam Failure (California)</w:t>
      </w:r>
    </w:p>
    <w:p w14:paraId="243BA4E2" w14:textId="77777777" w:rsidR="00065BCE" w:rsidRDefault="00065BCE" w:rsidP="00065BCE">
      <w:pPr>
        <w:pStyle w:val="References"/>
      </w:pPr>
      <w:r>
        <w:t>Rogers, J. D. (2006, 6:2).  Lessons Learned from the St. Francis Dam Failure.  Geo-Strata, 14-17.</w:t>
      </w:r>
    </w:p>
    <w:p w14:paraId="1F313936" w14:textId="77777777" w:rsidR="00065BCE" w:rsidRDefault="00065BCE" w:rsidP="00065BCE">
      <w:pPr>
        <w:pStyle w:val="References"/>
      </w:pPr>
      <w:r>
        <w:t xml:space="preserve">Rogers, J. D. &amp; </w:t>
      </w:r>
      <w:proofErr w:type="spellStart"/>
      <w:r>
        <w:t>Hasselmann</w:t>
      </w:r>
      <w:proofErr w:type="spellEnd"/>
      <w:r>
        <w:t xml:space="preserve">, K. F. (2013).  The St. Francis Dam Failure:  Worst American Engineering Disaster of the 20th Century.  AEG </w:t>
      </w:r>
      <w:proofErr w:type="spellStart"/>
      <w:r>
        <w:t>Shlemon</w:t>
      </w:r>
      <w:proofErr w:type="spellEnd"/>
      <w:r>
        <w:t xml:space="preserve"> Specialty Conference:  Dam Failures and Incidents.  Denver:  Association of Environmental and Engineering Geologists.</w:t>
      </w:r>
    </w:p>
    <w:p w14:paraId="3E6C8E8E" w14:textId="77777777" w:rsidR="00065BCE" w:rsidRDefault="00065BCE" w:rsidP="00065BCE">
      <w:pPr>
        <w:pStyle w:val="References"/>
      </w:pPr>
      <w:proofErr w:type="spellStart"/>
      <w:r>
        <w:t>VandenBerge</w:t>
      </w:r>
      <w:proofErr w:type="spellEnd"/>
      <w:r>
        <w:t>, D. R., Duncan, J.M., &amp; Brandon, T. (2011).  Lessons Learned From Dam Failures.  Virginia Polytechnic Institute and State University.</w:t>
      </w:r>
    </w:p>
    <w:p w14:paraId="5E008557" w14:textId="77777777" w:rsidR="00065BCE" w:rsidRPr="00945511" w:rsidRDefault="00065BCE" w:rsidP="00777F7F">
      <w:pPr>
        <w:rPr>
          <w:rFonts w:ascii="Times New Roman" w:hAnsi="Times New Roman" w:cs="Times New Roman"/>
        </w:rPr>
      </w:pPr>
    </w:p>
    <w:sectPr w:rsidR="00065BCE" w:rsidRPr="00945511" w:rsidSect="00935D54">
      <w:headerReference w:type="default" r:id="rId14"/>
      <w:footerReference w:type="defaul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0B95B" w14:textId="77777777" w:rsidR="000E6FBA" w:rsidRDefault="000E6FBA" w:rsidP="00777F7F">
      <w:r>
        <w:separator/>
      </w:r>
    </w:p>
  </w:endnote>
  <w:endnote w:type="continuationSeparator" w:id="0">
    <w:p w14:paraId="3DC84579" w14:textId="77777777" w:rsidR="000E6FBA" w:rsidRDefault="000E6FBA" w:rsidP="007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9CC01" w14:textId="58143135" w:rsidR="00EA0953" w:rsidRDefault="002923F5" w:rsidP="00777F7F">
    <w:pPr>
      <w:pStyle w:val="Footer"/>
      <w:jc w:val="center"/>
    </w:pPr>
    <w:r>
      <w:t xml:space="preserve">Page </w:t>
    </w:r>
    <w:sdt>
      <w:sdtPr>
        <w:id w:val="-476150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0953" w:rsidRPr="00051EA3">
          <w:fldChar w:fldCharType="begin"/>
        </w:r>
        <w:r w:rsidR="00EA0953" w:rsidRPr="00051EA3">
          <w:instrText xml:space="preserve"> PAGE   \* MERGEFORMAT </w:instrText>
        </w:r>
        <w:r w:rsidR="00EA0953" w:rsidRPr="00051EA3">
          <w:fldChar w:fldCharType="separate"/>
        </w:r>
        <w:r w:rsidR="00F21C26">
          <w:rPr>
            <w:noProof/>
          </w:rPr>
          <w:t>3</w:t>
        </w:r>
        <w:r w:rsidR="00EA0953" w:rsidRPr="00051EA3">
          <w:rPr>
            <w:noProof/>
          </w:rPr>
          <w:fldChar w:fldCharType="end"/>
        </w:r>
      </w:sdtContent>
    </w:sdt>
  </w:p>
  <w:p w14:paraId="4A59ACD9" w14:textId="77777777" w:rsidR="00EA0953" w:rsidRDefault="00EA0953" w:rsidP="00777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A4557" w14:textId="77777777" w:rsidR="000E6FBA" w:rsidRDefault="000E6FBA" w:rsidP="00777F7F">
      <w:r>
        <w:separator/>
      </w:r>
    </w:p>
  </w:footnote>
  <w:footnote w:type="continuationSeparator" w:id="0">
    <w:p w14:paraId="487263D8" w14:textId="77777777" w:rsidR="000E6FBA" w:rsidRDefault="000E6FBA" w:rsidP="0077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7B4C5" w14:textId="665137D2" w:rsidR="002923F5" w:rsidRDefault="002923F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47A"/>
    <w:multiLevelType w:val="hybridMultilevel"/>
    <w:tmpl w:val="B4F6E960"/>
    <w:lvl w:ilvl="0" w:tplc="2D846A62">
      <w:start w:val="1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A15BB"/>
    <w:multiLevelType w:val="hybridMultilevel"/>
    <w:tmpl w:val="797E3D10"/>
    <w:lvl w:ilvl="0" w:tplc="2D846A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2456"/>
    <w:multiLevelType w:val="hybridMultilevel"/>
    <w:tmpl w:val="59E4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413E"/>
    <w:multiLevelType w:val="multilevel"/>
    <w:tmpl w:val="58C6FD5C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B944D40"/>
    <w:multiLevelType w:val="hybridMultilevel"/>
    <w:tmpl w:val="7DBC229E"/>
    <w:lvl w:ilvl="0" w:tplc="2D846A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01654A9"/>
    <w:multiLevelType w:val="hybridMultilevel"/>
    <w:tmpl w:val="59BE363E"/>
    <w:lvl w:ilvl="0" w:tplc="2D846A62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A42A3"/>
    <w:multiLevelType w:val="hybridMultilevel"/>
    <w:tmpl w:val="6CA8C44C"/>
    <w:lvl w:ilvl="0" w:tplc="2D846A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74218"/>
    <w:multiLevelType w:val="hybridMultilevel"/>
    <w:tmpl w:val="A6187FEC"/>
    <w:lvl w:ilvl="0" w:tplc="2D846A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45A35"/>
    <w:multiLevelType w:val="hybridMultilevel"/>
    <w:tmpl w:val="AA74D672"/>
    <w:lvl w:ilvl="0" w:tplc="2D846A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21C4"/>
    <w:multiLevelType w:val="hybridMultilevel"/>
    <w:tmpl w:val="1F3CC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3188"/>
    <w:multiLevelType w:val="hybridMultilevel"/>
    <w:tmpl w:val="DED6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42364"/>
    <w:multiLevelType w:val="hybridMultilevel"/>
    <w:tmpl w:val="7E6A174A"/>
    <w:lvl w:ilvl="0" w:tplc="2D846A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602F"/>
    <w:multiLevelType w:val="hybridMultilevel"/>
    <w:tmpl w:val="DFCA0812"/>
    <w:lvl w:ilvl="0" w:tplc="1C74D6F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44EAC"/>
    <w:multiLevelType w:val="hybridMultilevel"/>
    <w:tmpl w:val="CFE40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</w:abstractNum>
  <w:abstractNum w:abstractNumId="14" w15:restartNumberingAfterBreak="0">
    <w:nsid w:val="403562D8"/>
    <w:multiLevelType w:val="hybridMultilevel"/>
    <w:tmpl w:val="6486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92F4D"/>
    <w:multiLevelType w:val="hybridMultilevel"/>
    <w:tmpl w:val="AEFA365E"/>
    <w:lvl w:ilvl="0" w:tplc="2D846A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C2063"/>
    <w:multiLevelType w:val="hybridMultilevel"/>
    <w:tmpl w:val="695C8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1E4452"/>
    <w:multiLevelType w:val="multilevel"/>
    <w:tmpl w:val="7288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36428"/>
    <w:multiLevelType w:val="hybridMultilevel"/>
    <w:tmpl w:val="D3422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E76C7"/>
    <w:multiLevelType w:val="hybridMultilevel"/>
    <w:tmpl w:val="10AA9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E719D"/>
    <w:multiLevelType w:val="hybridMultilevel"/>
    <w:tmpl w:val="B5227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47112"/>
    <w:multiLevelType w:val="multilevel"/>
    <w:tmpl w:val="05BC6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5A72281"/>
    <w:multiLevelType w:val="hybridMultilevel"/>
    <w:tmpl w:val="EF7ACE40"/>
    <w:lvl w:ilvl="0" w:tplc="2D846A62">
      <w:start w:val="10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F323DEE"/>
    <w:multiLevelType w:val="hybridMultilevel"/>
    <w:tmpl w:val="43A0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D1877"/>
    <w:multiLevelType w:val="hybridMultilevel"/>
    <w:tmpl w:val="A6AE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87132"/>
    <w:multiLevelType w:val="hybridMultilevel"/>
    <w:tmpl w:val="0066ADE2"/>
    <w:lvl w:ilvl="0" w:tplc="2D846A6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CE13BC"/>
    <w:multiLevelType w:val="hybridMultilevel"/>
    <w:tmpl w:val="06729F60"/>
    <w:lvl w:ilvl="0" w:tplc="2D846A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61DF0"/>
    <w:multiLevelType w:val="hybridMultilevel"/>
    <w:tmpl w:val="8D1A8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33F68"/>
    <w:multiLevelType w:val="hybridMultilevel"/>
    <w:tmpl w:val="93246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6"/>
  </w:num>
  <w:num w:numId="5">
    <w:abstractNumId w:val="26"/>
  </w:num>
  <w:num w:numId="6">
    <w:abstractNumId w:val="7"/>
  </w:num>
  <w:num w:numId="7">
    <w:abstractNumId w:val="11"/>
  </w:num>
  <w:num w:numId="8">
    <w:abstractNumId w:val="0"/>
  </w:num>
  <w:num w:numId="9">
    <w:abstractNumId w:val="25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13"/>
  </w:num>
  <w:num w:numId="19">
    <w:abstractNumId w:val="3"/>
  </w:num>
  <w:num w:numId="20">
    <w:abstractNumId w:val="10"/>
  </w:num>
  <w:num w:numId="21">
    <w:abstractNumId w:val="19"/>
  </w:num>
  <w:num w:numId="22">
    <w:abstractNumId w:val="9"/>
  </w:num>
  <w:num w:numId="23">
    <w:abstractNumId w:val="20"/>
  </w:num>
  <w:num w:numId="24">
    <w:abstractNumId w:val="28"/>
  </w:num>
  <w:num w:numId="25">
    <w:abstractNumId w:val="24"/>
  </w:num>
  <w:num w:numId="26">
    <w:abstractNumId w:val="27"/>
  </w:num>
  <w:num w:numId="27">
    <w:abstractNumId w:val="14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63"/>
    <w:rsid w:val="00005E3C"/>
    <w:rsid w:val="00010F7F"/>
    <w:rsid w:val="00012F56"/>
    <w:rsid w:val="000234BF"/>
    <w:rsid w:val="000318BB"/>
    <w:rsid w:val="000344D0"/>
    <w:rsid w:val="00037B42"/>
    <w:rsid w:val="00040BBD"/>
    <w:rsid w:val="00041B89"/>
    <w:rsid w:val="00051EA3"/>
    <w:rsid w:val="00054DC3"/>
    <w:rsid w:val="00060EA1"/>
    <w:rsid w:val="000653C4"/>
    <w:rsid w:val="00065BCE"/>
    <w:rsid w:val="00065D1D"/>
    <w:rsid w:val="0008795F"/>
    <w:rsid w:val="0009095D"/>
    <w:rsid w:val="00096C6D"/>
    <w:rsid w:val="00097A5D"/>
    <w:rsid w:val="000A1253"/>
    <w:rsid w:val="000B1D5B"/>
    <w:rsid w:val="000B299C"/>
    <w:rsid w:val="000C09C0"/>
    <w:rsid w:val="000C45ED"/>
    <w:rsid w:val="000D0D40"/>
    <w:rsid w:val="000D20FA"/>
    <w:rsid w:val="000E2BB3"/>
    <w:rsid w:val="000E6FBA"/>
    <w:rsid w:val="000F1143"/>
    <w:rsid w:val="000F42C0"/>
    <w:rsid w:val="00104FCF"/>
    <w:rsid w:val="00105F27"/>
    <w:rsid w:val="001117CD"/>
    <w:rsid w:val="00123682"/>
    <w:rsid w:val="00137C4E"/>
    <w:rsid w:val="00140188"/>
    <w:rsid w:val="00152BD7"/>
    <w:rsid w:val="001559C8"/>
    <w:rsid w:val="00155B75"/>
    <w:rsid w:val="00171B3F"/>
    <w:rsid w:val="0018482E"/>
    <w:rsid w:val="00191724"/>
    <w:rsid w:val="00195140"/>
    <w:rsid w:val="001A6D3E"/>
    <w:rsid w:val="001B240D"/>
    <w:rsid w:val="001C59E7"/>
    <w:rsid w:val="001D57B0"/>
    <w:rsid w:val="001E5B99"/>
    <w:rsid w:val="001F1621"/>
    <w:rsid w:val="002016EE"/>
    <w:rsid w:val="002106BC"/>
    <w:rsid w:val="00211E52"/>
    <w:rsid w:val="00215110"/>
    <w:rsid w:val="00216B8A"/>
    <w:rsid w:val="00216CD7"/>
    <w:rsid w:val="00220B52"/>
    <w:rsid w:val="002533CD"/>
    <w:rsid w:val="00261990"/>
    <w:rsid w:val="002635DA"/>
    <w:rsid w:val="00264B21"/>
    <w:rsid w:val="00266540"/>
    <w:rsid w:val="00267B0D"/>
    <w:rsid w:val="00270BCD"/>
    <w:rsid w:val="00274DD1"/>
    <w:rsid w:val="00283746"/>
    <w:rsid w:val="00290AEE"/>
    <w:rsid w:val="002923F5"/>
    <w:rsid w:val="002928DD"/>
    <w:rsid w:val="00297924"/>
    <w:rsid w:val="002C1850"/>
    <w:rsid w:val="002C1E14"/>
    <w:rsid w:val="002D2181"/>
    <w:rsid w:val="002D370D"/>
    <w:rsid w:val="002D6B32"/>
    <w:rsid w:val="002E0D6F"/>
    <w:rsid w:val="002E30C3"/>
    <w:rsid w:val="002E310E"/>
    <w:rsid w:val="002E3AA1"/>
    <w:rsid w:val="002E4157"/>
    <w:rsid w:val="002F0D67"/>
    <w:rsid w:val="002F1946"/>
    <w:rsid w:val="002F3233"/>
    <w:rsid w:val="0031190B"/>
    <w:rsid w:val="00331DF6"/>
    <w:rsid w:val="00333CA5"/>
    <w:rsid w:val="003575DF"/>
    <w:rsid w:val="003679F9"/>
    <w:rsid w:val="00373FD0"/>
    <w:rsid w:val="00382D65"/>
    <w:rsid w:val="0038643A"/>
    <w:rsid w:val="00391D29"/>
    <w:rsid w:val="00396BF1"/>
    <w:rsid w:val="003B0811"/>
    <w:rsid w:val="003B5C6F"/>
    <w:rsid w:val="003C48C0"/>
    <w:rsid w:val="003D2E7D"/>
    <w:rsid w:val="003D6C4F"/>
    <w:rsid w:val="003E360A"/>
    <w:rsid w:val="003E76B9"/>
    <w:rsid w:val="004001CE"/>
    <w:rsid w:val="00406927"/>
    <w:rsid w:val="0041102F"/>
    <w:rsid w:val="00412352"/>
    <w:rsid w:val="004137BE"/>
    <w:rsid w:val="00420A27"/>
    <w:rsid w:val="0042482C"/>
    <w:rsid w:val="00427479"/>
    <w:rsid w:val="00427C27"/>
    <w:rsid w:val="00432AB1"/>
    <w:rsid w:val="00433261"/>
    <w:rsid w:val="004336E2"/>
    <w:rsid w:val="00436C52"/>
    <w:rsid w:val="00443A11"/>
    <w:rsid w:val="004658AC"/>
    <w:rsid w:val="00473348"/>
    <w:rsid w:val="004738A6"/>
    <w:rsid w:val="00476F0B"/>
    <w:rsid w:val="004777B7"/>
    <w:rsid w:val="004A0B94"/>
    <w:rsid w:val="004B2973"/>
    <w:rsid w:val="004B5FEE"/>
    <w:rsid w:val="004C3593"/>
    <w:rsid w:val="004D4F9D"/>
    <w:rsid w:val="004D6514"/>
    <w:rsid w:val="004F3E9B"/>
    <w:rsid w:val="005013D1"/>
    <w:rsid w:val="00516118"/>
    <w:rsid w:val="00526BC2"/>
    <w:rsid w:val="0052709F"/>
    <w:rsid w:val="0053509A"/>
    <w:rsid w:val="00543C4F"/>
    <w:rsid w:val="00543DCD"/>
    <w:rsid w:val="005466D8"/>
    <w:rsid w:val="005520D0"/>
    <w:rsid w:val="00557C11"/>
    <w:rsid w:val="0056371E"/>
    <w:rsid w:val="0056621F"/>
    <w:rsid w:val="00567B6D"/>
    <w:rsid w:val="005736AC"/>
    <w:rsid w:val="00577849"/>
    <w:rsid w:val="005927B0"/>
    <w:rsid w:val="005A5602"/>
    <w:rsid w:val="005B1C1D"/>
    <w:rsid w:val="005B232E"/>
    <w:rsid w:val="005B292C"/>
    <w:rsid w:val="005B42C7"/>
    <w:rsid w:val="005B54A0"/>
    <w:rsid w:val="005C07B8"/>
    <w:rsid w:val="005C5D63"/>
    <w:rsid w:val="005D7EF1"/>
    <w:rsid w:val="005E0A8B"/>
    <w:rsid w:val="006167D6"/>
    <w:rsid w:val="006307B7"/>
    <w:rsid w:val="00631C3C"/>
    <w:rsid w:val="0063344A"/>
    <w:rsid w:val="00633E89"/>
    <w:rsid w:val="00641F56"/>
    <w:rsid w:val="00660A6E"/>
    <w:rsid w:val="00667DF4"/>
    <w:rsid w:val="00673B6E"/>
    <w:rsid w:val="006745E0"/>
    <w:rsid w:val="006820E5"/>
    <w:rsid w:val="0068726B"/>
    <w:rsid w:val="00697365"/>
    <w:rsid w:val="00697B65"/>
    <w:rsid w:val="006A2EDE"/>
    <w:rsid w:val="006A34D1"/>
    <w:rsid w:val="006A49CC"/>
    <w:rsid w:val="006B60E6"/>
    <w:rsid w:val="006C0A4D"/>
    <w:rsid w:val="006C2514"/>
    <w:rsid w:val="006C300E"/>
    <w:rsid w:val="006D4CF2"/>
    <w:rsid w:val="006E21D4"/>
    <w:rsid w:val="006F40F4"/>
    <w:rsid w:val="00701288"/>
    <w:rsid w:val="0070254F"/>
    <w:rsid w:val="00704B62"/>
    <w:rsid w:val="00706B0D"/>
    <w:rsid w:val="00711953"/>
    <w:rsid w:val="00713142"/>
    <w:rsid w:val="00722026"/>
    <w:rsid w:val="00754244"/>
    <w:rsid w:val="007559E5"/>
    <w:rsid w:val="007603C3"/>
    <w:rsid w:val="0076173D"/>
    <w:rsid w:val="00763EB5"/>
    <w:rsid w:val="00764C58"/>
    <w:rsid w:val="0076690F"/>
    <w:rsid w:val="00766CAF"/>
    <w:rsid w:val="00777F7F"/>
    <w:rsid w:val="0078305B"/>
    <w:rsid w:val="00786452"/>
    <w:rsid w:val="00793F54"/>
    <w:rsid w:val="007942E0"/>
    <w:rsid w:val="007A1DCF"/>
    <w:rsid w:val="007A7FE2"/>
    <w:rsid w:val="007B6A93"/>
    <w:rsid w:val="007C0297"/>
    <w:rsid w:val="007D0F65"/>
    <w:rsid w:val="007D2C03"/>
    <w:rsid w:val="007D44A6"/>
    <w:rsid w:val="007E4859"/>
    <w:rsid w:val="007F41AB"/>
    <w:rsid w:val="007F74DA"/>
    <w:rsid w:val="00802FED"/>
    <w:rsid w:val="00810643"/>
    <w:rsid w:val="0081066C"/>
    <w:rsid w:val="008108B9"/>
    <w:rsid w:val="0081689E"/>
    <w:rsid w:val="00825BB8"/>
    <w:rsid w:val="00834B52"/>
    <w:rsid w:val="00865060"/>
    <w:rsid w:val="00870768"/>
    <w:rsid w:val="008815FD"/>
    <w:rsid w:val="0088275B"/>
    <w:rsid w:val="00884D6D"/>
    <w:rsid w:val="00884E6A"/>
    <w:rsid w:val="00887519"/>
    <w:rsid w:val="00887D6B"/>
    <w:rsid w:val="00894E2A"/>
    <w:rsid w:val="008A52DB"/>
    <w:rsid w:val="008B77C0"/>
    <w:rsid w:val="008C63F0"/>
    <w:rsid w:val="008D04CA"/>
    <w:rsid w:val="008D0DC8"/>
    <w:rsid w:val="008D373E"/>
    <w:rsid w:val="008D7520"/>
    <w:rsid w:val="008F0387"/>
    <w:rsid w:val="008F4921"/>
    <w:rsid w:val="008F7011"/>
    <w:rsid w:val="00902405"/>
    <w:rsid w:val="009047E0"/>
    <w:rsid w:val="009054BF"/>
    <w:rsid w:val="00913917"/>
    <w:rsid w:val="0091672E"/>
    <w:rsid w:val="009267E5"/>
    <w:rsid w:val="00930BB2"/>
    <w:rsid w:val="009353B1"/>
    <w:rsid w:val="00935D54"/>
    <w:rsid w:val="00940C86"/>
    <w:rsid w:val="00943D4E"/>
    <w:rsid w:val="00945511"/>
    <w:rsid w:val="00945DC4"/>
    <w:rsid w:val="00947828"/>
    <w:rsid w:val="009536B9"/>
    <w:rsid w:val="00962250"/>
    <w:rsid w:val="0097189D"/>
    <w:rsid w:val="00974D2F"/>
    <w:rsid w:val="009759ED"/>
    <w:rsid w:val="00982E36"/>
    <w:rsid w:val="009876AF"/>
    <w:rsid w:val="00991921"/>
    <w:rsid w:val="0099585C"/>
    <w:rsid w:val="00997AB2"/>
    <w:rsid w:val="009B5DE2"/>
    <w:rsid w:val="009C4FC0"/>
    <w:rsid w:val="009D0868"/>
    <w:rsid w:val="009D0F1F"/>
    <w:rsid w:val="009D2591"/>
    <w:rsid w:val="009D3249"/>
    <w:rsid w:val="009E3542"/>
    <w:rsid w:val="009E556A"/>
    <w:rsid w:val="009F1BF6"/>
    <w:rsid w:val="009F4BDB"/>
    <w:rsid w:val="009F78D7"/>
    <w:rsid w:val="00A077A6"/>
    <w:rsid w:val="00A22099"/>
    <w:rsid w:val="00A375F8"/>
    <w:rsid w:val="00A41A71"/>
    <w:rsid w:val="00A50295"/>
    <w:rsid w:val="00A5073E"/>
    <w:rsid w:val="00A53F18"/>
    <w:rsid w:val="00A54FF3"/>
    <w:rsid w:val="00A625AE"/>
    <w:rsid w:val="00A632B0"/>
    <w:rsid w:val="00A646C6"/>
    <w:rsid w:val="00A672BF"/>
    <w:rsid w:val="00A77F33"/>
    <w:rsid w:val="00A8276B"/>
    <w:rsid w:val="00A921E3"/>
    <w:rsid w:val="00A9586A"/>
    <w:rsid w:val="00AA62C8"/>
    <w:rsid w:val="00AA6EB1"/>
    <w:rsid w:val="00AB5AD7"/>
    <w:rsid w:val="00AB6962"/>
    <w:rsid w:val="00AC0C33"/>
    <w:rsid w:val="00AC1504"/>
    <w:rsid w:val="00AD18B5"/>
    <w:rsid w:val="00AD2909"/>
    <w:rsid w:val="00AE423E"/>
    <w:rsid w:val="00AF142C"/>
    <w:rsid w:val="00AF70EF"/>
    <w:rsid w:val="00B00D4D"/>
    <w:rsid w:val="00B23833"/>
    <w:rsid w:val="00B31571"/>
    <w:rsid w:val="00B56EE7"/>
    <w:rsid w:val="00B602D7"/>
    <w:rsid w:val="00B63466"/>
    <w:rsid w:val="00B6632E"/>
    <w:rsid w:val="00B67209"/>
    <w:rsid w:val="00B71584"/>
    <w:rsid w:val="00B72928"/>
    <w:rsid w:val="00B752D1"/>
    <w:rsid w:val="00B760CB"/>
    <w:rsid w:val="00B900FF"/>
    <w:rsid w:val="00B93FD3"/>
    <w:rsid w:val="00BA2795"/>
    <w:rsid w:val="00BA4005"/>
    <w:rsid w:val="00BA6DEA"/>
    <w:rsid w:val="00BC1791"/>
    <w:rsid w:val="00BC5B4A"/>
    <w:rsid w:val="00BE3212"/>
    <w:rsid w:val="00BF1127"/>
    <w:rsid w:val="00C112D6"/>
    <w:rsid w:val="00C12C85"/>
    <w:rsid w:val="00C1433D"/>
    <w:rsid w:val="00C1737C"/>
    <w:rsid w:val="00C20CF9"/>
    <w:rsid w:val="00C2452F"/>
    <w:rsid w:val="00C26E68"/>
    <w:rsid w:val="00C31F30"/>
    <w:rsid w:val="00C462C2"/>
    <w:rsid w:val="00C52819"/>
    <w:rsid w:val="00C53414"/>
    <w:rsid w:val="00C66ED3"/>
    <w:rsid w:val="00C718E6"/>
    <w:rsid w:val="00C73654"/>
    <w:rsid w:val="00C86342"/>
    <w:rsid w:val="00CA3047"/>
    <w:rsid w:val="00CA4E2F"/>
    <w:rsid w:val="00CB3B34"/>
    <w:rsid w:val="00CB7BE1"/>
    <w:rsid w:val="00CC02A2"/>
    <w:rsid w:val="00CC1B18"/>
    <w:rsid w:val="00CC4E08"/>
    <w:rsid w:val="00CD40B1"/>
    <w:rsid w:val="00CD577E"/>
    <w:rsid w:val="00CD740C"/>
    <w:rsid w:val="00CE33A4"/>
    <w:rsid w:val="00CE52F6"/>
    <w:rsid w:val="00D00BC4"/>
    <w:rsid w:val="00D03289"/>
    <w:rsid w:val="00D06275"/>
    <w:rsid w:val="00D22EA9"/>
    <w:rsid w:val="00D27BB7"/>
    <w:rsid w:val="00D43A63"/>
    <w:rsid w:val="00D43AAB"/>
    <w:rsid w:val="00D47587"/>
    <w:rsid w:val="00D55B1B"/>
    <w:rsid w:val="00D60E49"/>
    <w:rsid w:val="00D62241"/>
    <w:rsid w:val="00D65CAE"/>
    <w:rsid w:val="00D67CA2"/>
    <w:rsid w:val="00D72D6F"/>
    <w:rsid w:val="00D8219E"/>
    <w:rsid w:val="00D82C3F"/>
    <w:rsid w:val="00DA1A5F"/>
    <w:rsid w:val="00DA3413"/>
    <w:rsid w:val="00DC5B06"/>
    <w:rsid w:val="00DD0B38"/>
    <w:rsid w:val="00DD12A5"/>
    <w:rsid w:val="00DD13A1"/>
    <w:rsid w:val="00DD2301"/>
    <w:rsid w:val="00DD52B3"/>
    <w:rsid w:val="00DD5BE8"/>
    <w:rsid w:val="00DE7C23"/>
    <w:rsid w:val="00DF5AEC"/>
    <w:rsid w:val="00E006CD"/>
    <w:rsid w:val="00E00B17"/>
    <w:rsid w:val="00E05B5D"/>
    <w:rsid w:val="00E067F1"/>
    <w:rsid w:val="00E0696D"/>
    <w:rsid w:val="00E13729"/>
    <w:rsid w:val="00E225DB"/>
    <w:rsid w:val="00E340CE"/>
    <w:rsid w:val="00E40D34"/>
    <w:rsid w:val="00E60BB0"/>
    <w:rsid w:val="00E64BDD"/>
    <w:rsid w:val="00E777D2"/>
    <w:rsid w:val="00E97157"/>
    <w:rsid w:val="00E97178"/>
    <w:rsid w:val="00EA0953"/>
    <w:rsid w:val="00EB0FE5"/>
    <w:rsid w:val="00EC2A0C"/>
    <w:rsid w:val="00EC3B02"/>
    <w:rsid w:val="00ED0074"/>
    <w:rsid w:val="00ED32A3"/>
    <w:rsid w:val="00ED712F"/>
    <w:rsid w:val="00ED7860"/>
    <w:rsid w:val="00EE2765"/>
    <w:rsid w:val="00EF40E7"/>
    <w:rsid w:val="00EF43A2"/>
    <w:rsid w:val="00F00237"/>
    <w:rsid w:val="00F04D74"/>
    <w:rsid w:val="00F05381"/>
    <w:rsid w:val="00F115E5"/>
    <w:rsid w:val="00F21C26"/>
    <w:rsid w:val="00F23EB1"/>
    <w:rsid w:val="00F41AF1"/>
    <w:rsid w:val="00F465BA"/>
    <w:rsid w:val="00F471ED"/>
    <w:rsid w:val="00F55066"/>
    <w:rsid w:val="00F66797"/>
    <w:rsid w:val="00F677BC"/>
    <w:rsid w:val="00F70ED2"/>
    <w:rsid w:val="00F8634C"/>
    <w:rsid w:val="00F86E7D"/>
    <w:rsid w:val="00F923DF"/>
    <w:rsid w:val="00FB2FA3"/>
    <w:rsid w:val="00FC7330"/>
    <w:rsid w:val="00FD26E6"/>
    <w:rsid w:val="00FE276C"/>
    <w:rsid w:val="00FE6722"/>
    <w:rsid w:val="00FE7E81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8D7E3"/>
  <w15:docId w15:val="{5F91C1C1-38FB-41A2-B9E4-3E623D0E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7F"/>
    <w:pPr>
      <w:autoSpaceDE w:val="0"/>
      <w:autoSpaceDN w:val="0"/>
      <w:adjustRightInd w:val="0"/>
      <w:spacing w:after="0" w:line="240" w:lineRule="auto"/>
      <w:jc w:val="both"/>
    </w:pPr>
    <w:rPr>
      <w:rFonts w:cs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6632E"/>
    <w:pPr>
      <w:spacing w:after="240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5E0A8B"/>
    <w:pPr>
      <w:spacing w:line="360" w:lineRule="auto"/>
      <w:ind w:left="2880" w:hanging="288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6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7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EA3"/>
  </w:style>
  <w:style w:type="paragraph" w:styleId="Footer">
    <w:name w:val="footer"/>
    <w:basedOn w:val="Normal"/>
    <w:link w:val="FooterChar"/>
    <w:uiPriority w:val="99"/>
    <w:unhideWhenUsed/>
    <w:rsid w:val="00051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EA3"/>
  </w:style>
  <w:style w:type="paragraph" w:styleId="ListParagraph">
    <w:name w:val="List Paragraph"/>
    <w:basedOn w:val="Normal"/>
    <w:uiPriority w:val="34"/>
    <w:qFormat/>
    <w:rsid w:val="009C4FC0"/>
    <w:pPr>
      <w:numPr>
        <w:numId w:val="16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632E"/>
    <w:rPr>
      <w:rFonts w:cs="Times New Roman"/>
      <w:b/>
      <w:sz w:val="32"/>
      <w:szCs w:val="24"/>
      <w:u w:val="single"/>
    </w:rPr>
  </w:style>
  <w:style w:type="character" w:customStyle="1" w:styleId="apple-converted-space">
    <w:name w:val="apple-converted-space"/>
    <w:basedOn w:val="DefaultParagraphFont"/>
    <w:rsid w:val="00B71584"/>
  </w:style>
  <w:style w:type="paragraph" w:styleId="NoSpacing">
    <w:name w:val="No Spacing"/>
    <w:uiPriority w:val="1"/>
    <w:qFormat/>
    <w:rsid w:val="000B299C"/>
    <w:pPr>
      <w:tabs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1232"/>
        <w:tab w:val="left" w:pos="1209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0A8B"/>
    <w:rPr>
      <w:rFonts w:ascii="Times New Roman" w:hAnsi="Times New Roman" w:cs="Times New Roman"/>
      <w:b/>
      <w:bCs/>
      <w:color w:val="000000"/>
      <w:sz w:val="28"/>
      <w:szCs w:val="24"/>
    </w:rPr>
  </w:style>
  <w:style w:type="paragraph" w:customStyle="1" w:styleId="References">
    <w:name w:val="References"/>
    <w:basedOn w:val="Normal"/>
    <w:rsid w:val="000B299C"/>
    <w:pPr>
      <w:autoSpaceDE/>
      <w:autoSpaceDN/>
      <w:adjustRightInd/>
      <w:spacing w:after="120"/>
      <w:ind w:left="864" w:right="426" w:hanging="864"/>
      <w:jc w:val="left"/>
    </w:pPr>
    <w:rPr>
      <w:rFonts w:ascii="Times New Roman" w:eastAsia="Times New Roman" w:hAnsi="Times New Roman" w:cs="Times New Roman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en.osu.edu" TargetMode="External"/><Relationship Id="rId13" Type="http://schemas.openxmlformats.org/officeDocument/2006/relationships/hyperlink" Target="http://www.geerassoci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erassociation.org/index.php/component/geer_reports/?view=geerreports&amp;layout=build&amp;id=2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lds@o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ds.os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F0700-BAA8-4AB8-A95F-AD331660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Civil, Environmental and Geodetic Engineering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Brian Rehfus</dc:creator>
  <cp:lastModifiedBy>Daniel Pradel</cp:lastModifiedBy>
  <cp:revision>10</cp:revision>
  <cp:lastPrinted>2017-12-18T19:51:00Z</cp:lastPrinted>
  <dcterms:created xsi:type="dcterms:W3CDTF">2018-03-25T20:06:00Z</dcterms:created>
  <dcterms:modified xsi:type="dcterms:W3CDTF">2018-04-13T15:14:00Z</dcterms:modified>
</cp:coreProperties>
</file>